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76" w:beforeLines="1050" w:after="624" w:afterLines="200" w:line="560" w:lineRule="exact"/>
        <w:ind w:right="-334" w:rightChars="-159"/>
        <w:jc w:val="center"/>
        <w:rPr>
          <w:rFonts w:eastAsia="方正小标宋_GBK"/>
          <w:color w:val="000000" w:themeColor="text1"/>
          <w:sz w:val="44"/>
          <w:szCs w:val="44"/>
          <w14:textFill>
            <w14:solidFill>
              <w14:schemeClr w14:val="tx1"/>
            </w14:solidFill>
          </w14:textFill>
        </w:rPr>
      </w:pPr>
      <w:r>
        <w:rPr>
          <w:rFonts w:eastAsia="仿宋_GB2312"/>
          <w:color w:val="000000" w:themeColor="text1"/>
          <w:sz w:val="32"/>
          <w:szCs w:val="32"/>
          <w14:textFill>
            <w14:solidFill>
              <w14:schemeClr w14:val="tx1"/>
            </w14:solidFill>
          </w14:textFill>
        </w:rPr>
        <w:t>黄环建函〔2023〕</w:t>
      </w: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号</w:t>
      </w:r>
    </w:p>
    <w:p>
      <w:pPr>
        <w:snapToGrid w:val="0"/>
        <w:spacing w:line="52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关于黄山市住房和城乡建设局</w:t>
      </w:r>
    </w:p>
    <w:p>
      <w:pPr>
        <w:snapToGrid w:val="0"/>
        <w:spacing w:line="52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黄山市中心城区生活垃圾收集转运及资源化处理基地项目环境影响报告表的批复</w:t>
      </w:r>
    </w:p>
    <w:p>
      <w:pPr>
        <w:adjustRightInd w:val="0"/>
        <w:snapToGrid w:val="0"/>
        <w:spacing w:line="560" w:lineRule="exact"/>
        <w:rPr>
          <w:rFonts w:ascii="仿宋_GB2312" w:hAnsi="仿宋_GB2312" w:cstheme="minorBidi"/>
          <w:color w:val="000000"/>
          <w:sz w:val="28"/>
          <w:szCs w:val="28"/>
        </w:rPr>
      </w:pPr>
    </w:p>
    <w:p>
      <w:pPr>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黄山市住房和城乡建设局：</w:t>
      </w:r>
    </w:p>
    <w:p>
      <w:pPr>
        <w:widowControl/>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你单位报来的黄山市中心城区生活垃圾收集转运及资源化处理基地项目《行政许可申请书》和复岘环保科技（上海）有限公司编制的《黄山市住房和城乡建设局黄山市中心城区生活垃圾收集转运及资源化处理基地项目环境影响报告表》（以下简称《报告表》）悉。黄山市自然资源和规划局出具《黄山市自然资源和规划局关于黄山市中心城区生活垃圾收集转运及资源化处理基地项目用地预审与选址意见的复函》（黄自然资函[2023]67号），同意项目用地预审与选址。黄山市发展改革委出具《黄山市发展改革委关于黄山市中心城区生活垃圾收集转运及资源化处理基地项目建议书的批复》（黄发改行审[2023]10号），同意项目实施。</w:t>
      </w:r>
      <w:r>
        <w:rPr>
          <w:rFonts w:hint="eastAsia" w:eastAsia="仿宋_GB2312"/>
          <w:sz w:val="32"/>
          <w:szCs w:val="32"/>
        </w:rPr>
        <w:t>项目经专家技术函审，并在黄山市生态环境局网站公示，公众无异议。经研究，现对《报告表》批复如下：</w:t>
      </w:r>
    </w:p>
    <w:p>
      <w:pPr>
        <w:numPr>
          <w:ilvl w:val="0"/>
          <w:numId w:val="1"/>
        </w:num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本项目拟在安徽省黄山市屯溪区阳湖镇紫阜村（屯溪区餐厨垃圾生态处理示范基地北侧）（118 度 20 分 15.161 秒， 29 度 40 分 49.273 秒）进行建设，项目总占地面积20123平方米，总投资14600万元，其中环保投资770万元，主要建设日处理能力500吨的生活垃圾收集转运中心、日处理能力200吨的生活垃圾可回收物资源化处理基地（分拣中心）、2678平方米的新能源环卫车停车场以及</w:t>
      </w:r>
      <w:r>
        <w:rPr>
          <w:rFonts w:eastAsia="仿宋_GB2312"/>
          <w:sz w:val="32"/>
          <w:szCs w:val="32"/>
          <w:lang w:val="zh-CN"/>
        </w:rPr>
        <w:t>配套建设相应的</w:t>
      </w:r>
      <w:r>
        <w:rPr>
          <w:rFonts w:eastAsia="仿宋_GB2312"/>
          <w:sz w:val="32"/>
          <w:szCs w:val="32"/>
        </w:rPr>
        <w:t>环保设施</w:t>
      </w:r>
      <w:r>
        <w:rPr>
          <w:rFonts w:eastAsia="仿宋_GB2312"/>
          <w:sz w:val="32"/>
          <w:szCs w:val="32"/>
          <w:lang w:val="zh-CN"/>
        </w:rPr>
        <w:t>、环境风险防范措施以及公用、辅助、储运等设施。</w:t>
      </w:r>
    </w:p>
    <w:p>
      <w:pPr>
        <w:numPr>
          <w:ilvl w:val="0"/>
          <w:numId w:val="1"/>
        </w:numPr>
        <w:adjustRightInd w:val="0"/>
        <w:snapToGrid w:val="0"/>
        <w:spacing w:line="560" w:lineRule="exact"/>
        <w:ind w:firstLine="640" w:firstLineChars="200"/>
        <w:rPr>
          <w:rFonts w:eastAsia="仿宋_GB2312"/>
          <w:sz w:val="32"/>
          <w:szCs w:val="32"/>
          <w:lang w:val="zh-CN"/>
        </w:rPr>
      </w:pPr>
      <w:r>
        <w:rPr>
          <w:rFonts w:hint="eastAsia" w:ascii="仿宋_GB2312" w:hAnsi="仿宋_GB2312" w:eastAsia="仿宋_GB2312" w:cs="仿宋_GB2312"/>
          <w:color w:val="000000"/>
          <w:sz w:val="32"/>
          <w:szCs w:val="32"/>
        </w:rPr>
        <w:t>从生态环境保护角度，同意你单位按《报告表》所列建设项目的性质、规模、地点、</w:t>
      </w:r>
      <w:r>
        <w:rPr>
          <w:rFonts w:eastAsia="仿宋_GB2312"/>
          <w:sz w:val="32"/>
          <w:szCs w:val="32"/>
          <w:lang w:val="zh-CN"/>
        </w:rPr>
        <w:t>采用的生产工艺和拟采取的各项环境保护措施进行建设，并重点做好以下工作：</w:t>
      </w:r>
    </w:p>
    <w:p>
      <w:pPr>
        <w:numPr>
          <w:ilvl w:val="0"/>
          <w:numId w:val="2"/>
        </w:num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落实大气污染防治措施。项目应确保所在区域环境空气质量达到《环境空气质量标准》（GB3095－2012）及</w:t>
      </w:r>
      <w:r>
        <w:rPr>
          <w:rFonts w:hint="eastAsia" w:ascii="仿宋_GB2312" w:hAnsi="仿宋_GB2312" w:eastAsia="仿宋_GB2312" w:cs="仿宋_GB2312"/>
          <w:color w:val="000000" w:themeColor="text1"/>
          <w:sz w:val="32"/>
          <w:szCs w:val="32"/>
          <w14:textFill>
            <w14:solidFill>
              <w14:schemeClr w14:val="tx1"/>
            </w14:solidFill>
          </w14:textFill>
        </w:rPr>
        <w:t>2018年修改单中规</w:t>
      </w:r>
      <w:r>
        <w:rPr>
          <w:rFonts w:hint="eastAsia" w:ascii="仿宋_GB2312" w:hAnsi="仿宋_GB2312" w:eastAsia="仿宋_GB2312" w:cs="仿宋_GB2312"/>
          <w:color w:val="000000"/>
          <w:sz w:val="32"/>
          <w:szCs w:val="32"/>
        </w:rPr>
        <w:t>定的二级浓度限值，</w:t>
      </w:r>
      <w:r>
        <w:rPr>
          <w:rFonts w:hint="eastAsia" w:ascii="仿宋_GB2312" w:hAnsi="仿宋_GB2312" w:eastAsia="仿宋_GB2312" w:cs="仿宋_GB2312"/>
          <w:sz w:val="32"/>
          <w:szCs w:val="32"/>
        </w:rPr>
        <w:t>氨气、硫化氢执行《环境影响评价技术导则 大气环境》（HJ2.2-2018）附录D中的标准</w:t>
      </w:r>
      <w:r>
        <w:rPr>
          <w:rFonts w:hint="eastAsia" w:ascii="仿宋_GB2312" w:hAnsi="仿宋_GB2312" w:eastAsia="仿宋_GB2312" w:cs="仿宋_GB2312"/>
          <w:color w:val="000000"/>
          <w:sz w:val="32"/>
          <w:szCs w:val="32"/>
        </w:rPr>
        <w:t>。项目运行产生的废气应收集处理，转运车间设置密闭式结构和快速自动关闭卷帘门，卸料、压缩等产生的恶臭废气、粉尘通过在卸料、垃圾压缩、箱体存放及车间进出口等区域上方设置吸风口进行负压收集后通过“碱洗+生物过滤”系统处理后通过不低于15米高排气筒排放；垃圾破碎粉尘经集气罩收集后通过布袋除尘器处理后通过不低于15m高排气筒排放；污水处理站AO池、MBR反应器、污泥浓缩池等产生恶臭废气通过池体、设施加盖密封经负压收集后经“碱洗+生物过滤”废气处理系统处理后不低于15米高排气筒排放；转运站设置雾化喷头喷洒植物除臭剂进行生物除臭；项目转运车辆应做到密闭、无</w:t>
      </w:r>
      <w:r>
        <w:rPr>
          <w:rFonts w:hint="eastAsia" w:eastAsia="仿宋_GB2312"/>
          <w:sz w:val="32"/>
          <w:szCs w:val="32"/>
        </w:rPr>
        <w:t>飘撒及</w:t>
      </w:r>
      <w:r>
        <w:rPr>
          <w:rFonts w:hint="eastAsia" w:ascii="仿宋_GB2312" w:hAnsi="仿宋_GB2312" w:eastAsia="仿宋_GB2312" w:cs="仿宋_GB2312"/>
          <w:color w:val="000000"/>
          <w:sz w:val="32"/>
          <w:szCs w:val="32"/>
        </w:rPr>
        <w:t>跑冒滴漏，并合理规划路线和转运时间，避免对沿线居民产生影响。颗粒物应达到《大气污染物综合排放标准》（GB16297-1996）表2的二级标准以及无组织排放监控浓度限值要求；氨、硫化氢、臭气浓度有组织排放达到《恶臭污染物排放标准》（GB14554-93）表2中相应标准限值，厂界无组织排放达到《恶臭污染物排放标准》（GB14554-93）表1中相应标准限值。</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落实废水环境保护措施。项目地块实施雨污分流，垃圾压滤液、车辆和设备冲洗水、地面冲洗废水、降尘除臭废气处理系统废水、停车场初期雨水等通过80t/d的废水处理站经混凝沉淀+UASB厌氧系统+两级A/O+MBR+纳滤</w:t>
      </w:r>
      <w:r>
        <w:rPr>
          <w:rFonts w:hint="eastAsia" w:ascii="仿宋_GB2312" w:hAnsi="仿宋_GB2312" w:eastAsia="仿宋_GB2312" w:cs="仿宋_GB2312"/>
          <w:color w:val="000000"/>
          <w:sz w:val="32"/>
          <w:szCs w:val="32"/>
          <w:lang w:val="en-US" w:eastAsia="zh-CN"/>
        </w:rPr>
        <w:t>+消毒</w:t>
      </w:r>
      <w:r>
        <w:rPr>
          <w:rFonts w:hint="eastAsia" w:ascii="仿宋_GB2312" w:hAnsi="仿宋_GB2312" w:eastAsia="仿宋_GB2312" w:cs="仿宋_GB2312"/>
          <w:color w:val="000000"/>
          <w:sz w:val="32"/>
          <w:szCs w:val="32"/>
        </w:rPr>
        <w:t>）处理后与生活污水混合，废水中总汞、总镉、总铬、六价铬、总砷、总铅、色度、氨氮、总氮、总磷、粪大肠菌群数等达到与黄山市中</w:t>
      </w:r>
      <w:bookmarkStart w:id="0" w:name="_GoBack"/>
      <w:bookmarkEnd w:id="0"/>
      <w:r>
        <w:rPr>
          <w:rFonts w:hint="eastAsia" w:ascii="仿宋_GB2312" w:hAnsi="仿宋_GB2312" w:eastAsia="仿宋_GB2312" w:cs="仿宋_GB2312"/>
          <w:color w:val="000000"/>
          <w:sz w:val="32"/>
          <w:szCs w:val="32"/>
        </w:rPr>
        <w:t>心城区污水处理厂污水接纳处理协议限值，pH、COD、BOD</w:t>
      </w:r>
      <w:r>
        <w:rPr>
          <w:rFonts w:hint="eastAsia" w:ascii="仿宋_GB2312" w:hAnsi="仿宋_GB2312" w:eastAsia="仿宋_GB2312" w:cs="仿宋_GB2312"/>
          <w:color w:val="000000"/>
          <w:sz w:val="32"/>
          <w:szCs w:val="32"/>
          <w:vertAlign w:val="subscript"/>
        </w:rPr>
        <w:t>5</w:t>
      </w:r>
      <w:r>
        <w:rPr>
          <w:rFonts w:hint="eastAsia" w:ascii="仿宋_GB2312" w:hAnsi="仿宋_GB2312" w:eastAsia="仿宋_GB2312" w:cs="仿宋_GB2312"/>
          <w:color w:val="000000"/>
          <w:sz w:val="32"/>
          <w:szCs w:val="32"/>
        </w:rPr>
        <w:t>、SS等污染物排放达到《污水综合排放标准》（GB8978-1996）表4中的三级标准后，经总排口排入市政污水管网进入黄山市中心城区污水处理厂处理。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做好固体废物污染防治工作。生活垃圾中转站应按照《生活垃圾转运站工程项目建设标准》《生活垃圾转运站技术规范》等要求建设。依据“减量化、资源化、无害化”的原则，落实各类固体废物分类收集、贮存、转运、处置和综合利用措施，并加强车间环境管理。可回收垃圾经分拣后经再生资源回收企业回收利用，污泥委托黄山市生活垃圾焚烧厂处理。对废机油、废油桶、分拣的有毒有害垃圾等危险废物必须按照《中华人民共和国固体废物污染环境防治法》中的特别规定和《危险废物贮存污染控制标准》（GB18597-2001）的要求，配套专用危险废物临时储存设施，配备专用储存容器进行收集，委托有资质的专业机构对其进行处置，并做好处置记录，不得随意处置；应制定危险废物管理计划，并将管理计划及危险废物管理有关资料向环境保护行政主管部门申报、备案。</w:t>
      </w:r>
    </w:p>
    <w:p>
      <w:pPr>
        <w:widowControl/>
        <w:adjustRightInd w:val="0"/>
        <w:snapToGrid w:val="0"/>
        <w:spacing w:line="56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做好地下水、土壤污染防治工作。项目应落实《报告</w:t>
      </w:r>
      <w:r>
        <w:rPr>
          <w:rFonts w:hint="eastAsia" w:eastAsia="仿宋_GB2312"/>
          <w:sz w:val="32"/>
          <w:szCs w:val="32"/>
        </w:rPr>
        <w:t>表</w:t>
      </w:r>
      <w:r>
        <w:rPr>
          <w:rFonts w:eastAsia="仿宋_GB2312"/>
          <w:sz w:val="32"/>
          <w:szCs w:val="32"/>
        </w:rPr>
        <w:t>》中分区防渗重点污染防治区防渗措施和其它区域的一般防渗措施，定期对地下水水质监测，确保地下水环境质量达到《地下水质量标准》（GB/T 14848-2017）中的</w:t>
      </w:r>
      <w:r>
        <w:rPr>
          <w:rFonts w:hint="eastAsia" w:ascii="宋体" w:hAnsi="宋体" w:cs="宋体"/>
          <w:sz w:val="32"/>
          <w:szCs w:val="32"/>
        </w:rPr>
        <w:t>Ⅲ</w:t>
      </w:r>
      <w:r>
        <w:rPr>
          <w:rFonts w:eastAsia="仿宋_GB2312"/>
          <w:sz w:val="32"/>
          <w:szCs w:val="32"/>
        </w:rPr>
        <w:t>类标准，建设用地达到《土壤环境质量 建设用地土壤污染风险管控标准（试行）》（GB 36600-2018）表1中第二类用地筛选值标准，防止地下水、土壤受到污染，确保项目区域的地下水、土壤环境质量不降低。</w:t>
      </w:r>
    </w:p>
    <w:p>
      <w:pPr>
        <w:spacing w:line="560" w:lineRule="exact"/>
        <w:ind w:firstLine="640" w:firstLineChars="200"/>
        <w:rPr>
          <w:rFonts w:ascii="仿宋_GB2312" w:hAnsi="仿宋_GB2312" w:eastAsia="仿宋_GB2312" w:cs="仿宋_GB2312"/>
          <w:color w:val="000000"/>
          <w:sz w:val="32"/>
          <w:szCs w:val="32"/>
        </w:rPr>
      </w:pPr>
      <w:r>
        <w:rPr>
          <w:rFonts w:hint="eastAsia" w:eastAsia="仿宋_GB2312"/>
          <w:sz w:val="32"/>
          <w:szCs w:val="32"/>
        </w:rPr>
        <w:t>（五）</w:t>
      </w:r>
      <w:r>
        <w:rPr>
          <w:rFonts w:eastAsia="仿宋_GB2312"/>
          <w:sz w:val="32"/>
          <w:szCs w:val="32"/>
        </w:rPr>
        <w:t>落实噪声污染防治措施。对各类噪声源采取必要的隔声、降噪措施，确保项目生产过程中</w:t>
      </w:r>
      <w:r>
        <w:rPr>
          <w:rFonts w:hint="eastAsia" w:eastAsia="仿宋_GB2312"/>
          <w:sz w:val="32"/>
          <w:szCs w:val="32"/>
        </w:rPr>
        <w:t>东</w:t>
      </w:r>
      <w:r>
        <w:rPr>
          <w:rFonts w:eastAsia="仿宋_GB2312"/>
          <w:sz w:val="32"/>
          <w:szCs w:val="32"/>
        </w:rPr>
        <w:t>厂界噪声</w:t>
      </w:r>
      <w:r>
        <w:rPr>
          <w:rFonts w:hint="eastAsia" w:ascii="仿宋_GB2312" w:hAnsi="仿宋_GB2312" w:eastAsia="仿宋_GB2312" w:cs="仿宋_GB2312"/>
          <w:color w:val="000000"/>
          <w:sz w:val="32"/>
          <w:szCs w:val="32"/>
        </w:rPr>
        <w:t>符合《工业企业厂界环境噪声排放标准》（GB12348－2008）中</w:t>
      </w:r>
      <w:r>
        <w:rPr>
          <w:rFonts w:hint="eastAsia" w:ascii="仿宋_GB2312" w:hAnsi="仿宋_GB2312" w:eastAsia="仿宋_GB2312" w:cs="仿宋_GB2312"/>
          <w:sz w:val="32"/>
          <w:szCs w:val="32"/>
        </w:rPr>
        <w:t>4类标准，其他厂界噪声符合2类标准</w:t>
      </w:r>
      <w:r>
        <w:rPr>
          <w:rFonts w:hint="eastAsia" w:ascii="仿宋_GB2312" w:hAnsi="仿宋_GB2312" w:eastAsia="仿宋_GB2312" w:cs="仿宋_GB2312"/>
          <w:color w:val="000000"/>
          <w:sz w:val="32"/>
          <w:szCs w:val="32"/>
        </w:rPr>
        <w:t>。</w:t>
      </w:r>
    </w:p>
    <w:p>
      <w:pPr>
        <w:adjustRightInd w:val="0"/>
        <w:snapToGrid w:val="0"/>
        <w:spacing w:line="560" w:lineRule="exact"/>
        <w:ind w:firstLine="570"/>
        <w:rPr>
          <w:rFonts w:ascii="仿宋_GB2312" w:eastAsia="仿宋_GB2312"/>
          <w:color w:val="000000"/>
          <w:sz w:val="32"/>
          <w:szCs w:val="32"/>
        </w:rPr>
      </w:pPr>
      <w:r>
        <w:rPr>
          <w:rFonts w:hint="eastAsia" w:eastAsia="仿宋_GB2312"/>
          <w:sz w:val="32"/>
          <w:szCs w:val="32"/>
        </w:rPr>
        <w:t xml:space="preserve"> （六）</w:t>
      </w:r>
      <w:r>
        <w:rPr>
          <w:rFonts w:hint="eastAsia" w:ascii="仿宋_GB2312" w:hAnsi="仿宋_GB2312" w:eastAsia="仿宋_GB2312" w:cs="仿宋_GB2312"/>
          <w:color w:val="000000"/>
          <w:sz w:val="32"/>
          <w:szCs w:val="32"/>
        </w:rPr>
        <w:t>切实落实各项生态保护措施。应制定科学的施工计划，落实施工期生态保护措施，严格控制施工作业范围，尽量减少对周边地表的扰动及对植被的破坏，防止施工造成的植被破坏、生态破坏和水土流失，防止松材线虫病和外来物种侵袭。</w:t>
      </w:r>
    </w:p>
    <w:p>
      <w:pPr>
        <w:widowControl/>
        <w:adjustRightInd w:val="0"/>
        <w:snapToGrid w:val="0"/>
        <w:spacing w:line="560" w:lineRule="exact"/>
        <w:ind w:firstLine="640" w:firstLineChars="200"/>
        <w:rPr>
          <w:rFonts w:eastAsia="仿宋_GB2312"/>
          <w:sz w:val="32"/>
          <w:szCs w:val="32"/>
        </w:rPr>
      </w:pPr>
      <w:r>
        <w:rPr>
          <w:rFonts w:hint="eastAsia" w:eastAsia="仿宋_GB2312"/>
          <w:sz w:val="32"/>
          <w:szCs w:val="32"/>
        </w:rPr>
        <w:t>（七）</w:t>
      </w:r>
      <w:r>
        <w:rPr>
          <w:rFonts w:eastAsia="仿宋_GB2312"/>
          <w:sz w:val="32"/>
          <w:szCs w:val="32"/>
        </w:rPr>
        <w:t>做好项目的环境风险防范工作。建立环境风险应急管理体系，根据项目的建设内容</w:t>
      </w:r>
      <w:r>
        <w:rPr>
          <w:rFonts w:hint="eastAsia" w:eastAsia="仿宋_GB2312"/>
          <w:sz w:val="32"/>
          <w:szCs w:val="32"/>
        </w:rPr>
        <w:t>制定</w:t>
      </w:r>
      <w:r>
        <w:rPr>
          <w:rFonts w:eastAsia="仿宋_GB2312"/>
          <w:sz w:val="32"/>
          <w:szCs w:val="32"/>
        </w:rPr>
        <w:t>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pPr>
        <w:widowControl/>
        <w:adjustRightInd w:val="0"/>
        <w:snapToGrid w:val="0"/>
        <w:spacing w:line="560" w:lineRule="exact"/>
        <w:ind w:firstLine="640" w:firstLineChars="200"/>
        <w:rPr>
          <w:rFonts w:eastAsia="仿宋_GB2312"/>
          <w:sz w:val="32"/>
          <w:szCs w:val="32"/>
        </w:rPr>
      </w:pPr>
      <w:r>
        <w:rPr>
          <w:rFonts w:hint="eastAsia" w:eastAsia="仿宋_GB2312"/>
          <w:sz w:val="32"/>
          <w:szCs w:val="32"/>
        </w:rPr>
        <w:t>（八）</w:t>
      </w:r>
      <w:r>
        <w:rPr>
          <w:rFonts w:eastAsia="仿宋_GB2312"/>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pPr>
        <w:widowControl/>
        <w:adjustRightInd w:val="0"/>
        <w:snapToGrid w:val="0"/>
        <w:spacing w:line="560" w:lineRule="exact"/>
        <w:ind w:firstLine="640" w:firstLineChars="200"/>
        <w:rPr>
          <w:rFonts w:eastAsia="仿宋_GB2312"/>
          <w:sz w:val="32"/>
          <w:szCs w:val="32"/>
        </w:rPr>
      </w:pPr>
      <w:r>
        <w:rPr>
          <w:rFonts w:hint="eastAsia" w:eastAsia="仿宋_GB2312"/>
          <w:sz w:val="32"/>
          <w:szCs w:val="32"/>
        </w:rPr>
        <w:t>（九）</w:t>
      </w:r>
      <w:r>
        <w:rPr>
          <w:rFonts w:eastAsia="仿宋_GB2312"/>
          <w:sz w:val="32"/>
          <w:szCs w:val="32"/>
        </w:rPr>
        <w:t>施工期应按《报告</w:t>
      </w:r>
      <w:r>
        <w:rPr>
          <w:rFonts w:hint="eastAsia" w:eastAsia="仿宋_GB2312"/>
          <w:sz w:val="32"/>
          <w:szCs w:val="32"/>
        </w:rPr>
        <w:t>表</w:t>
      </w:r>
      <w:r>
        <w:rPr>
          <w:rFonts w:eastAsia="仿宋_GB2312"/>
          <w:sz w:val="32"/>
          <w:szCs w:val="32"/>
        </w:rPr>
        <w:t>》要求及相关规定落实废气、废水、噪声等污染防治措施，做好固体废物管理，确保施工期污染物达标排放。</w:t>
      </w:r>
    </w:p>
    <w:p>
      <w:pPr>
        <w:widowControl/>
        <w:adjustRightInd w:val="0"/>
        <w:snapToGrid w:val="0"/>
        <w:spacing w:line="560" w:lineRule="exact"/>
        <w:ind w:firstLine="640" w:firstLineChars="200"/>
        <w:rPr>
          <w:rFonts w:eastAsia="仿宋_GB2312"/>
          <w:sz w:val="32"/>
          <w:szCs w:val="32"/>
          <w:lang w:val="zh-CN"/>
        </w:rPr>
      </w:pPr>
      <w:r>
        <w:rPr>
          <w:rFonts w:hint="eastAsia" w:ascii="仿宋_GB2312" w:hAnsi="仿宋_GB2312" w:eastAsia="仿宋_GB2312" w:cs="仿宋_GB2312"/>
          <w:color w:val="000000"/>
          <w:sz w:val="32"/>
          <w:szCs w:val="32"/>
        </w:rPr>
        <w:t>三、本项目地块内现存在环境敏感建筑，项目开工建设前须完成拆迁安置。</w:t>
      </w:r>
      <w:r>
        <w:rPr>
          <w:rFonts w:eastAsia="仿宋_GB2312"/>
          <w:sz w:val="32"/>
          <w:szCs w:val="32"/>
        </w:rPr>
        <w:t>厂界外100 m为</w:t>
      </w:r>
      <w:r>
        <w:rPr>
          <w:rFonts w:hint="eastAsia" w:eastAsia="仿宋_GB2312"/>
          <w:sz w:val="32"/>
          <w:szCs w:val="32"/>
        </w:rPr>
        <w:t>项目</w:t>
      </w:r>
      <w:r>
        <w:rPr>
          <w:rFonts w:eastAsia="仿宋_GB2312"/>
          <w:sz w:val="32"/>
          <w:szCs w:val="32"/>
        </w:rPr>
        <w:t>的环境防护距离</w:t>
      </w:r>
      <w:r>
        <w:rPr>
          <w:rFonts w:hint="eastAsia" w:eastAsia="仿宋_GB2312"/>
          <w:sz w:val="32"/>
          <w:szCs w:val="32"/>
        </w:rPr>
        <w:t>，</w:t>
      </w:r>
      <w:r>
        <w:rPr>
          <w:rFonts w:eastAsia="仿宋_GB2312"/>
          <w:sz w:val="32"/>
          <w:szCs w:val="32"/>
        </w:rPr>
        <w:t>该环境防护距离范围内不得有</w:t>
      </w:r>
      <w:r>
        <w:rPr>
          <w:rFonts w:eastAsia="仿宋_GB2312"/>
          <w:sz w:val="32"/>
          <w:szCs w:val="32"/>
          <w:lang w:val="zh-CN"/>
        </w:rPr>
        <w:t>医院、学校、居民住宅等环境敏感建筑物。</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四、项目应当遵守安全生产规定，按照安全生产管理要求运行和维护各类生产设施和污染防治设施，建立安全生产管理制度。</w:t>
      </w:r>
    </w:p>
    <w:p>
      <w:pPr>
        <w:widowControl/>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五、</w:t>
      </w:r>
      <w:r>
        <w:rPr>
          <w:rFonts w:eastAsia="仿宋_GB2312"/>
          <w:sz w:val="32"/>
          <w:szCs w:val="32"/>
        </w:rPr>
        <w:t>建设项目必须严格执行环境保护“三同时”制度。初步设计应当按照环境保护设计规范的要求，编制环境保护篇章，落实防治环境污染和生态破坏的措施以及环境保护设施投资概算。环保设施建设必须纳入施工合同，保证环保设施建设进度和资金。</w:t>
      </w:r>
    </w:p>
    <w:p>
      <w:pPr>
        <w:widowControl/>
        <w:adjustRightInd w:val="0"/>
        <w:snapToGrid w:val="0"/>
        <w:spacing w:line="56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、《报告</w:t>
      </w:r>
      <w:r>
        <w:rPr>
          <w:rFonts w:hint="eastAsia" w:eastAsia="仿宋_GB2312"/>
          <w:sz w:val="32"/>
          <w:szCs w:val="32"/>
        </w:rPr>
        <w:t>表</w:t>
      </w:r>
      <w:r>
        <w:rPr>
          <w:rFonts w:eastAsia="仿宋_GB2312"/>
          <w:sz w:val="32"/>
          <w:szCs w:val="32"/>
        </w:rPr>
        <w:t>》经批准后，如项目的性质、规模、地点、采用的生产工艺或防治污染的措施发生重大变动的，应依法重新报批项目的环境影响评价文件。超过五年方决定该项目开工建设的，应依法报我局重新审核。</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七、国家对本项目应执行的环境标准作出修订或新颁布的，执行新标准。</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八、该项目投入生产或使用并产生实际排污行为之前，须按《固定污染源排污许可分类管理名录》申领排污许可证或登记。</w:t>
      </w:r>
    </w:p>
    <w:p>
      <w:pPr>
        <w:widowControl/>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九、</w:t>
      </w:r>
      <w:r>
        <w:rPr>
          <w:rFonts w:eastAsia="仿宋_GB2312"/>
          <w:sz w:val="32"/>
          <w:szCs w:val="32"/>
        </w:rPr>
        <w:t>该项目建成后，应按照法定程序和要求及时开展建设项目竣工环境保护验收和验收信息报送工作，并依法依规公开相关信息。</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十、项目实施过程中应依法严格执行相关主管部门规定，取得了法定许可后方可开工。</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十一、请市生态环境保护综合行政执法支队、屯溪区生态环境分局负责该项目“三同时”日常监督管理工作。</w:t>
      </w:r>
    </w:p>
    <w:p>
      <w:pPr>
        <w:adjustRightInd w:val="0"/>
        <w:snapToGrid w:val="0"/>
        <w:spacing w:line="560" w:lineRule="exact"/>
        <w:ind w:firstLine="4480" w:firstLineChars="1400"/>
        <w:rPr>
          <w:rFonts w:hint="eastAsia" w:ascii="仿宋_GB2312" w:hAnsi="仿宋_GB2312" w:eastAsia="仿宋_GB2312" w:cs="仿宋_GB2312"/>
          <w:color w:val="000000"/>
          <w:sz w:val="32"/>
          <w:szCs w:val="32"/>
        </w:rPr>
      </w:pPr>
    </w:p>
    <w:p>
      <w:pPr>
        <w:pStyle w:val="2"/>
        <w:ind w:firstLine="480"/>
        <w:rPr>
          <w:rFonts w:hint="eastAsia"/>
        </w:rPr>
      </w:pPr>
    </w:p>
    <w:p>
      <w:pPr>
        <w:pStyle w:val="3"/>
        <w:spacing w:before="312"/>
        <w:rPr>
          <w:rFonts w:hint="eastAsia"/>
        </w:rPr>
      </w:pPr>
    </w:p>
    <w:p>
      <w:pPr>
        <w:pStyle w:val="3"/>
        <w:spacing w:before="312"/>
        <w:rPr>
          <w:rFonts w:hint="eastAsia"/>
        </w:rPr>
      </w:pPr>
    </w:p>
    <w:p>
      <w:pPr>
        <w:adjustRightInd w:val="0"/>
        <w:snapToGrid w:val="0"/>
        <w:spacing w:line="560" w:lineRule="exact"/>
        <w:ind w:firstLine="4480" w:firstLineChars="1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黄山市生态环境局</w:t>
      </w:r>
    </w:p>
    <w:p>
      <w:pPr>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2023年3月 8 日  </w:t>
      </w:r>
    </w:p>
    <w:p>
      <w:pPr>
        <w:wordWrap w:val="0"/>
        <w:snapToGrid w:val="0"/>
        <w:spacing w:line="520" w:lineRule="exact"/>
        <w:ind w:firstLine="640" w:firstLineChars="200"/>
        <w:jc w:val="right"/>
        <w:rPr>
          <w:rFonts w:eastAsia="仿宋_GB2312"/>
          <w:sz w:val="32"/>
          <w:szCs w:val="32"/>
          <w:lang w:val="en"/>
        </w:rPr>
      </w:pPr>
      <w:r>
        <w:rPr>
          <w:rFonts w:eastAsia="仿宋_GB2312"/>
          <w:sz w:val="32"/>
          <w:szCs w:val="32"/>
          <w:lang w:val="en"/>
        </w:rPr>
        <w:t xml:space="preserve">     </w:t>
      </w:r>
    </w:p>
    <w:tbl>
      <w:tblPr>
        <w:tblStyle w:val="14"/>
        <w:tblpPr w:leftFromText="180" w:rightFromText="180" w:vertAnchor="text" w:horzAnchor="margin" w:tblpY="6684"/>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542" w:type="dxa"/>
            <w:tcBorders>
              <w:top w:val="single" w:color="auto" w:sz="4" w:space="0"/>
              <w:left w:val="nil"/>
              <w:bottom w:val="single" w:color="auto" w:sz="4" w:space="0"/>
              <w:right w:val="nil"/>
            </w:tcBorders>
            <w:vAlign w:val="center"/>
          </w:tcPr>
          <w:p>
            <w:pPr>
              <w:snapToGrid w:val="0"/>
              <w:spacing w:line="520" w:lineRule="exact"/>
              <w:rPr>
                <w:rFonts w:eastAsia="仿宋_GB2312"/>
                <w:color w:val="000000"/>
                <w:sz w:val="28"/>
                <w:szCs w:val="28"/>
              </w:rPr>
            </w:pPr>
            <w:r>
              <w:rPr>
                <w:rFonts w:eastAsia="仿宋_GB2312"/>
                <w:color w:val="000000"/>
                <w:sz w:val="28"/>
                <w:szCs w:val="28"/>
              </w:rPr>
              <w:t>抄送：市生态环境保护综合行政执法支队，</w:t>
            </w:r>
            <w:r>
              <w:rPr>
                <w:rFonts w:hint="eastAsia" w:eastAsia="仿宋_GB2312"/>
                <w:color w:val="000000"/>
                <w:sz w:val="28"/>
                <w:szCs w:val="28"/>
              </w:rPr>
              <w:t>屯溪区生态环境分局</w:t>
            </w:r>
            <w:r>
              <w:rPr>
                <w:rFonts w:eastAsia="仿宋_GB2312"/>
                <w:color w:val="000000"/>
                <w:sz w:val="28"/>
                <w:szCs w:val="28"/>
              </w:rPr>
              <w:t>，</w:t>
            </w:r>
            <w:r>
              <w:rPr>
                <w:rFonts w:hint="eastAsia" w:eastAsia="仿宋_GB2312"/>
                <w:color w:val="000000"/>
                <w:sz w:val="28"/>
                <w:szCs w:val="28"/>
              </w:rPr>
              <w:t>复岘环保科技（上海）有限公司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542" w:type="dxa"/>
            <w:tcBorders>
              <w:top w:val="single" w:color="auto" w:sz="4" w:space="0"/>
              <w:left w:val="nil"/>
              <w:bottom w:val="single" w:color="auto" w:sz="4" w:space="0"/>
              <w:right w:val="nil"/>
            </w:tcBorders>
            <w:vAlign w:val="center"/>
          </w:tcPr>
          <w:p>
            <w:pPr>
              <w:snapToGrid w:val="0"/>
              <w:spacing w:line="520" w:lineRule="exact"/>
              <w:rPr>
                <w:rFonts w:eastAsia="仿宋_GB2312"/>
                <w:color w:val="000000"/>
                <w:sz w:val="28"/>
                <w:szCs w:val="28"/>
              </w:rPr>
            </w:pPr>
            <w:r>
              <w:rPr>
                <w:rFonts w:eastAsia="仿宋_GB2312"/>
                <w:color w:val="000000"/>
                <w:sz w:val="28"/>
                <w:szCs w:val="28"/>
              </w:rPr>
              <w:t xml:space="preserve">黄山市生态环境局              </w:t>
            </w:r>
            <w:r>
              <w:rPr>
                <w:rFonts w:hint="eastAsia" w:eastAsia="仿宋_GB2312"/>
                <w:color w:val="000000"/>
                <w:sz w:val="28"/>
                <w:szCs w:val="28"/>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eastAsia="仿宋_GB2312"/>
                <w:color w:val="000000"/>
                <w:sz w:val="28"/>
                <w:szCs w:val="28"/>
              </w:rPr>
              <w:t xml:space="preserve"> 202</w:t>
            </w:r>
            <w:r>
              <w:rPr>
                <w:rFonts w:hint="eastAsia" w:eastAsia="仿宋_GB2312"/>
                <w:color w:val="000000"/>
                <w:sz w:val="28"/>
                <w:szCs w:val="28"/>
              </w:rPr>
              <w:t>3</w:t>
            </w:r>
            <w:r>
              <w:rPr>
                <w:rFonts w:eastAsia="仿宋_GB2312"/>
                <w:color w:val="000000"/>
                <w:sz w:val="28"/>
                <w:szCs w:val="28"/>
              </w:rPr>
              <w:t>年</w:t>
            </w:r>
            <w:r>
              <w:rPr>
                <w:rFonts w:hint="eastAsia" w:eastAsia="仿宋_GB2312"/>
                <w:color w:val="000000"/>
                <w:sz w:val="28"/>
                <w:szCs w:val="28"/>
              </w:rPr>
              <w:t>3</w:t>
            </w:r>
            <w:r>
              <w:rPr>
                <w:rFonts w:eastAsia="仿宋_GB2312"/>
                <w:color w:val="000000"/>
                <w:sz w:val="28"/>
                <w:szCs w:val="28"/>
              </w:rPr>
              <w:t>月</w:t>
            </w:r>
            <w:r>
              <w:rPr>
                <w:rFonts w:hint="eastAsia" w:eastAsia="仿宋_GB2312"/>
                <w:color w:val="000000"/>
                <w:sz w:val="28"/>
                <w:szCs w:val="28"/>
              </w:rPr>
              <w:t xml:space="preserve">8 </w:t>
            </w:r>
            <w:r>
              <w:rPr>
                <w:rFonts w:eastAsia="仿宋_GB2312"/>
                <w:color w:val="000000"/>
                <w:sz w:val="28"/>
                <w:szCs w:val="28"/>
              </w:rPr>
              <w:t>日印发</w:t>
            </w:r>
          </w:p>
        </w:tc>
      </w:tr>
    </w:tbl>
    <w:p>
      <w:pPr>
        <w:adjustRightInd w:val="0"/>
        <w:snapToGrid w:val="0"/>
        <w:spacing w:line="560" w:lineRule="exact"/>
        <w:jc w:val="center"/>
        <w:rPr>
          <w:rFonts w:eastAsia="仿宋_GB2312"/>
          <w:sz w:val="32"/>
          <w:szCs w:val="32"/>
        </w:rPr>
      </w:pPr>
    </w:p>
    <w:sectPr>
      <w:footerReference r:id="rId3" w:type="default"/>
      <w:footerReference r:id="rId4" w:type="even"/>
      <w:pgSz w:w="11906" w:h="16838"/>
      <w:pgMar w:top="1985" w:right="1797" w:bottom="1134" w:left="179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altName w:val="宋体"/>
    <w:panose1 w:val="00000000000000000000"/>
    <w:charset w:val="86"/>
    <w:family w:val="auto"/>
    <w:pitch w:val="default"/>
    <w:sig w:usb0="00000000" w:usb1="00000000" w:usb2="00000012" w:usb3="00000000" w:csb0="203E01BD" w:csb1="D7FF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363D4"/>
    <w:multiLevelType w:val="singleLevel"/>
    <w:tmpl w:val="4BA363D4"/>
    <w:lvl w:ilvl="0" w:tentative="0">
      <w:start w:val="1"/>
      <w:numFmt w:val="chineseCounting"/>
      <w:suff w:val="nothing"/>
      <w:lvlText w:val="（%1）"/>
      <w:lvlJc w:val="left"/>
      <w:rPr>
        <w:rFonts w:hint="eastAsia"/>
      </w:rPr>
    </w:lvl>
  </w:abstractNum>
  <w:abstractNum w:abstractNumId="1">
    <w:nsid w:val="79CA8929"/>
    <w:multiLevelType w:val="singleLevel"/>
    <w:tmpl w:val="79CA892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doNotHyphenateCaps/>
  <w:evenAndOddHeaders w:val="1"/>
  <w:drawingGridHorizontalSpacing w:val="105"/>
  <w:drawingGridVerticalSpacing w:val="43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2ZmNGVkMmY3NTJmYjljYmIyMWM4M2QzNjQyMGQifQ=="/>
  </w:docVars>
  <w:rsids>
    <w:rsidRoot w:val="00C558A6"/>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9F4"/>
    <w:rsid w:val="00102A1F"/>
    <w:rsid w:val="00103764"/>
    <w:rsid w:val="001040B0"/>
    <w:rsid w:val="00105656"/>
    <w:rsid w:val="00106C9C"/>
    <w:rsid w:val="001074C4"/>
    <w:rsid w:val="00110DBC"/>
    <w:rsid w:val="00111E66"/>
    <w:rsid w:val="00112DAC"/>
    <w:rsid w:val="001136DE"/>
    <w:rsid w:val="00114638"/>
    <w:rsid w:val="00122595"/>
    <w:rsid w:val="00123394"/>
    <w:rsid w:val="00124053"/>
    <w:rsid w:val="00124416"/>
    <w:rsid w:val="00125CD2"/>
    <w:rsid w:val="00130597"/>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992"/>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7B6"/>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09D4"/>
    <w:rsid w:val="00322B59"/>
    <w:rsid w:val="00324D73"/>
    <w:rsid w:val="00326CF7"/>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14D7"/>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2D5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17B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963"/>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67F0A"/>
    <w:rsid w:val="00673F1F"/>
    <w:rsid w:val="00677C8E"/>
    <w:rsid w:val="00677CE7"/>
    <w:rsid w:val="006812C5"/>
    <w:rsid w:val="00683A70"/>
    <w:rsid w:val="00690288"/>
    <w:rsid w:val="0069033E"/>
    <w:rsid w:val="00690BDB"/>
    <w:rsid w:val="0069331D"/>
    <w:rsid w:val="00693444"/>
    <w:rsid w:val="0069366E"/>
    <w:rsid w:val="00693DBC"/>
    <w:rsid w:val="006A3C1B"/>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2E2"/>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1683A"/>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616"/>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4590"/>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5D2D"/>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4785F"/>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1273"/>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4C81"/>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0B2F"/>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0AFA"/>
    <w:rsid w:val="00CA1517"/>
    <w:rsid w:val="00CA15B8"/>
    <w:rsid w:val="00CA16F9"/>
    <w:rsid w:val="00CA1CB7"/>
    <w:rsid w:val="00CA2C50"/>
    <w:rsid w:val="00CA2D83"/>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05FA"/>
    <w:rsid w:val="00D11378"/>
    <w:rsid w:val="00D119F8"/>
    <w:rsid w:val="00D23DD1"/>
    <w:rsid w:val="00D245F3"/>
    <w:rsid w:val="00D2554F"/>
    <w:rsid w:val="00D30C59"/>
    <w:rsid w:val="00D32047"/>
    <w:rsid w:val="00D33040"/>
    <w:rsid w:val="00D33EDB"/>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3AF1"/>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D39B8"/>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11FC"/>
    <w:rsid w:val="00E43B07"/>
    <w:rsid w:val="00E461F8"/>
    <w:rsid w:val="00E51D71"/>
    <w:rsid w:val="00E52156"/>
    <w:rsid w:val="00E54241"/>
    <w:rsid w:val="00E55835"/>
    <w:rsid w:val="00E56CF1"/>
    <w:rsid w:val="00E57299"/>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B5AFE"/>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A9B5BC6"/>
    <w:rsid w:val="4C916B1C"/>
    <w:rsid w:val="4DF96CE5"/>
    <w:rsid w:val="4E253C8D"/>
    <w:rsid w:val="4FB07550"/>
    <w:rsid w:val="502D711A"/>
    <w:rsid w:val="50D44D05"/>
    <w:rsid w:val="512027DB"/>
    <w:rsid w:val="51872972"/>
    <w:rsid w:val="524135D4"/>
    <w:rsid w:val="527B538F"/>
    <w:rsid w:val="52EF30F1"/>
    <w:rsid w:val="5540344C"/>
    <w:rsid w:val="563F3971"/>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 w:val="FA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link w:val="28"/>
    <w:qFormat/>
    <w:uiPriority w:val="0"/>
    <w:pPr>
      <w:ind w:firstLine="420" w:firstLineChars="200"/>
    </w:pPr>
    <w:rPr>
      <w:kern w:val="0"/>
      <w:sz w:val="24"/>
      <w:szCs w:val="20"/>
    </w:rPr>
  </w:style>
  <w:style w:type="paragraph" w:customStyle="1" w:styleId="3">
    <w:name w:val="附图图片"/>
    <w:basedOn w:val="1"/>
    <w:qFormat/>
    <w:uiPriority w:val="0"/>
    <w:pPr>
      <w:spacing w:before="100" w:beforeLines="100"/>
      <w:jc w:val="center"/>
    </w:pPr>
    <w:rPr>
      <w:rFonts w:eastAsia="楷体"/>
      <w:sz w:val="24"/>
    </w:rPr>
  </w:style>
  <w:style w:type="paragraph" w:styleId="6">
    <w:name w:val="annotation text"/>
    <w:basedOn w:val="1"/>
    <w:link w:val="29"/>
    <w:semiHidden/>
    <w:qFormat/>
    <w:uiPriority w:val="0"/>
    <w:pPr>
      <w:jc w:val="left"/>
    </w:pPr>
    <w:rPr>
      <w:szCs w:val="21"/>
    </w:rPr>
  </w:style>
  <w:style w:type="paragraph" w:styleId="7">
    <w:name w:val="Body Text"/>
    <w:basedOn w:val="1"/>
    <w:next w:val="1"/>
    <w:qFormat/>
    <w:uiPriority w:val="0"/>
    <w:pPr>
      <w:spacing w:after="120"/>
    </w:pPr>
  </w:style>
  <w:style w:type="paragraph" w:styleId="8">
    <w:name w:val="Date"/>
    <w:basedOn w:val="1"/>
    <w:next w:val="1"/>
    <w:link w:val="30"/>
    <w:qFormat/>
    <w:uiPriority w:val="0"/>
    <w:pPr>
      <w:ind w:left="100" w:leftChars="2500"/>
    </w:pPr>
    <w:rPr>
      <w:sz w:val="24"/>
    </w:rPr>
  </w:style>
  <w:style w:type="paragraph" w:styleId="9">
    <w:name w:val="Body Text Indent 2"/>
    <w:basedOn w:val="1"/>
    <w:link w:val="31"/>
    <w:qFormat/>
    <w:uiPriority w:val="0"/>
    <w:pPr>
      <w:spacing w:line="590" w:lineRule="exact"/>
      <w:ind w:firstLine="880" w:firstLineChars="200"/>
    </w:pPr>
    <w:rPr>
      <w:rFonts w:eastAsia="方正仿宋_GBK"/>
    </w:rPr>
  </w:style>
  <w:style w:type="paragraph" w:styleId="10">
    <w:name w:val="footer"/>
    <w:basedOn w:val="1"/>
    <w:link w:val="32"/>
    <w:qFormat/>
    <w:uiPriority w:val="99"/>
    <w:pPr>
      <w:tabs>
        <w:tab w:val="center" w:pos="4153"/>
        <w:tab w:val="right" w:pos="8306"/>
      </w:tabs>
      <w:snapToGrid w:val="0"/>
      <w:jc w:val="left"/>
    </w:pPr>
    <w:rPr>
      <w:sz w:val="18"/>
      <w:szCs w:val="20"/>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39"/>
    <w:pPr>
      <w:tabs>
        <w:tab w:val="right" w:leader="dot" w:pos="8302"/>
      </w:tabs>
      <w:spacing w:before="120" w:after="120" w:line="360" w:lineRule="auto"/>
      <w:jc w:val="distribute"/>
    </w:pPr>
    <w:rPr>
      <w:rFonts w:ascii="黑体" w:hAnsi="黑体" w:eastAsia="黑体"/>
      <w:bCs/>
      <w:caps/>
      <w:kern w:val="44"/>
      <w:szCs w:val="20"/>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locked/>
    <w:uiPriority w:val="0"/>
    <w:rPr>
      <w:rFonts w:cs="Times New Roman"/>
      <w:b/>
      <w:bCs/>
    </w:rPr>
  </w:style>
  <w:style w:type="character" w:styleId="18">
    <w:name w:val="page number"/>
    <w:qFormat/>
    <w:uiPriority w:val="0"/>
    <w:rPr>
      <w:rFonts w:cs="Times New Roman"/>
    </w:rPr>
  </w:style>
  <w:style w:type="character" w:styleId="19">
    <w:name w:val="Emphasis"/>
    <w:qFormat/>
    <w:locked/>
    <w:uiPriority w:val="0"/>
    <w:rPr>
      <w:rFonts w:cs="Times New Roman"/>
      <w:i/>
      <w:iCs/>
    </w:rPr>
  </w:style>
  <w:style w:type="character" w:styleId="20">
    <w:name w:val="Hyperlink"/>
    <w:qFormat/>
    <w:uiPriority w:val="0"/>
    <w:rPr>
      <w:rFonts w:ascii="微软雅黑" w:hAnsi="微软雅黑" w:eastAsia="微软雅黑"/>
      <w:color w:val="000000"/>
      <w:sz w:val="18"/>
      <w:u w:val="none"/>
    </w:rPr>
  </w:style>
  <w:style w:type="paragraph" w:customStyle="1" w:styleId="21">
    <w:name w:val="Default"/>
    <w:basedOn w:val="22"/>
    <w:next w:val="23"/>
    <w:qFormat/>
    <w:uiPriority w:val="99"/>
    <w:pPr>
      <w:tabs>
        <w:tab w:val="left" w:pos="0"/>
      </w:tabs>
      <w:autoSpaceDE w:val="0"/>
      <w:autoSpaceDN w:val="0"/>
      <w:adjustRightInd w:val="0"/>
    </w:pPr>
    <w:rPr>
      <w:color w:val="000000"/>
      <w:sz w:val="24"/>
    </w:rPr>
  </w:style>
  <w:style w:type="paragraph" w:customStyle="1" w:styleId="22">
    <w:name w:val="标题2"/>
    <w:basedOn w:val="5"/>
    <w:qFormat/>
    <w:uiPriority w:val="0"/>
    <w:pPr>
      <w:tabs>
        <w:tab w:val="left" w:pos="0"/>
      </w:tabs>
      <w:spacing w:line="440" w:lineRule="exact"/>
      <w:ind w:left="1560"/>
    </w:pPr>
    <w:rPr>
      <w:sz w:val="28"/>
    </w:rPr>
  </w:style>
  <w:style w:type="paragraph" w:customStyle="1" w:styleId="23">
    <w:name w:val="样式3"/>
    <w:basedOn w:val="12"/>
    <w:next w:val="24"/>
    <w:qFormat/>
    <w:uiPriority w:val="0"/>
    <w:pPr>
      <w:autoSpaceDE w:val="0"/>
      <w:autoSpaceDN w:val="0"/>
      <w:snapToGrid w:val="0"/>
      <w:spacing w:line="460" w:lineRule="atLeast"/>
      <w:jc w:val="center"/>
    </w:pPr>
    <w:rPr>
      <w:rFonts w:ascii="Times New Roman" w:hAnsi="Times New Roman"/>
      <w:kern w:val="2"/>
      <w:sz w:val="28"/>
    </w:rPr>
  </w:style>
  <w:style w:type="paragraph" w:customStyle="1" w:styleId="24">
    <w:name w:val="目录 53"/>
    <w:basedOn w:val="1"/>
    <w:next w:val="1"/>
    <w:qFormat/>
    <w:uiPriority w:val="0"/>
    <w:pPr>
      <w:ind w:left="840"/>
    </w:pPr>
    <w:rPr>
      <w:rFonts w:cs="宋体"/>
      <w:color w:val="000000"/>
    </w:rPr>
  </w:style>
  <w:style w:type="paragraph" w:customStyle="1" w:styleId="25">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character" w:customStyle="1" w:styleId="26">
    <w:name w:val="标题 1 Char"/>
    <w:link w:val="4"/>
    <w:qFormat/>
    <w:uiPriority w:val="0"/>
    <w:rPr>
      <w:b/>
      <w:bCs/>
      <w:kern w:val="44"/>
      <w:sz w:val="44"/>
      <w:szCs w:val="44"/>
    </w:rPr>
  </w:style>
  <w:style w:type="character" w:customStyle="1" w:styleId="27">
    <w:name w:val="标题 2 Char"/>
    <w:link w:val="5"/>
    <w:qFormat/>
    <w:locked/>
    <w:uiPriority w:val="0"/>
    <w:rPr>
      <w:rFonts w:ascii="宋体" w:hAnsi="宋体" w:eastAsia="宋体" w:cs="宋体"/>
      <w:b/>
      <w:bCs/>
      <w:sz w:val="36"/>
      <w:szCs w:val="36"/>
      <w:lang w:val="en-US" w:eastAsia="zh-CN" w:bidi="ar-SA"/>
    </w:rPr>
  </w:style>
  <w:style w:type="character" w:customStyle="1" w:styleId="28">
    <w:name w:val="正文缩进 Char"/>
    <w:link w:val="2"/>
    <w:qFormat/>
    <w:locked/>
    <w:uiPriority w:val="0"/>
    <w:rPr>
      <w:rFonts w:eastAsia="宋体"/>
      <w:sz w:val="24"/>
      <w:lang w:bidi="ar-SA"/>
    </w:rPr>
  </w:style>
  <w:style w:type="character" w:customStyle="1" w:styleId="29">
    <w:name w:val="批注文字 Char"/>
    <w:basedOn w:val="16"/>
    <w:link w:val="6"/>
    <w:qFormat/>
    <w:locked/>
    <w:uiPriority w:val="0"/>
    <w:rPr>
      <w:rFonts w:eastAsia="宋体"/>
      <w:kern w:val="2"/>
      <w:sz w:val="21"/>
      <w:szCs w:val="21"/>
      <w:lang w:val="en-US" w:eastAsia="zh-CN" w:bidi="ar-SA"/>
    </w:rPr>
  </w:style>
  <w:style w:type="character" w:customStyle="1" w:styleId="30">
    <w:name w:val="日期 Char"/>
    <w:link w:val="8"/>
    <w:semiHidden/>
    <w:qFormat/>
    <w:locked/>
    <w:uiPriority w:val="0"/>
    <w:rPr>
      <w:rFonts w:cs="Times New Roman"/>
      <w:kern w:val="2"/>
      <w:sz w:val="24"/>
      <w:szCs w:val="24"/>
    </w:rPr>
  </w:style>
  <w:style w:type="character" w:customStyle="1" w:styleId="31">
    <w:name w:val="正文文本缩进 2 Char"/>
    <w:basedOn w:val="16"/>
    <w:link w:val="9"/>
    <w:qFormat/>
    <w:locked/>
    <w:uiPriority w:val="0"/>
    <w:rPr>
      <w:rFonts w:eastAsia="方正仿宋_GBK"/>
      <w:kern w:val="2"/>
      <w:sz w:val="21"/>
      <w:szCs w:val="24"/>
      <w:lang w:val="en-US" w:eastAsia="zh-CN" w:bidi="ar-SA"/>
    </w:rPr>
  </w:style>
  <w:style w:type="character" w:customStyle="1" w:styleId="32">
    <w:name w:val="页脚 Char1"/>
    <w:link w:val="10"/>
    <w:qFormat/>
    <w:locked/>
    <w:uiPriority w:val="0"/>
    <w:rPr>
      <w:kern w:val="2"/>
      <w:sz w:val="18"/>
    </w:rPr>
  </w:style>
  <w:style w:type="character" w:customStyle="1" w:styleId="33">
    <w:name w:val="页眉 Char"/>
    <w:link w:val="11"/>
    <w:qFormat/>
    <w:locked/>
    <w:uiPriority w:val="0"/>
    <w:rPr>
      <w:rFonts w:cs="Times New Roman"/>
      <w:kern w:val="2"/>
      <w:sz w:val="18"/>
    </w:rPr>
  </w:style>
  <w:style w:type="character" w:customStyle="1" w:styleId="34">
    <w:name w:val="font12"/>
    <w:qFormat/>
    <w:uiPriority w:val="0"/>
    <w:rPr>
      <w:rFonts w:ascii="宋体" w:hAnsi="宋体" w:eastAsia="宋体" w:cs="宋体"/>
      <w:color w:val="000000"/>
      <w:sz w:val="22"/>
      <w:szCs w:val="22"/>
      <w:u w:val="none"/>
    </w:rPr>
  </w:style>
  <w:style w:type="character" w:customStyle="1" w:styleId="35">
    <w:name w:val="font101"/>
    <w:qFormat/>
    <w:uiPriority w:val="0"/>
    <w:rPr>
      <w:rFonts w:ascii="Times New Roman" w:hAnsi="Times New Roman" w:cs="Times New Roman"/>
      <w:color w:val="000000"/>
      <w:sz w:val="18"/>
      <w:szCs w:val="18"/>
      <w:u w:val="none"/>
    </w:rPr>
  </w:style>
  <w:style w:type="character" w:customStyle="1" w:styleId="36">
    <w:name w:val="Footer Char"/>
    <w:qFormat/>
    <w:locked/>
    <w:uiPriority w:val="0"/>
    <w:rPr>
      <w:rFonts w:cs="Times New Roman"/>
      <w:sz w:val="18"/>
      <w:szCs w:val="18"/>
    </w:rPr>
  </w:style>
  <w:style w:type="character" w:customStyle="1" w:styleId="37">
    <w:name w:val="font111"/>
    <w:qFormat/>
    <w:uiPriority w:val="0"/>
    <w:rPr>
      <w:rFonts w:ascii="Times New Roman" w:hAnsi="Times New Roman" w:cs="Times New Roman"/>
      <w:color w:val="000000"/>
      <w:sz w:val="22"/>
      <w:szCs w:val="22"/>
      <w:u w:val="none"/>
    </w:rPr>
  </w:style>
  <w:style w:type="character" w:customStyle="1" w:styleId="38">
    <w:name w:val="font151"/>
    <w:qFormat/>
    <w:uiPriority w:val="0"/>
    <w:rPr>
      <w:rFonts w:ascii="宋体" w:hAnsi="宋体" w:eastAsia="宋体" w:cs="宋体"/>
      <w:color w:val="000000"/>
      <w:sz w:val="21"/>
      <w:szCs w:val="21"/>
      <w:u w:val="none"/>
    </w:rPr>
  </w:style>
  <w:style w:type="character" w:customStyle="1" w:styleId="39">
    <w:name w:val="font61"/>
    <w:qFormat/>
    <w:uiPriority w:val="0"/>
    <w:rPr>
      <w:rFonts w:ascii="宋体" w:hAnsi="宋体" w:eastAsia="宋体" w:cs="宋体"/>
      <w:color w:val="000000"/>
      <w:sz w:val="18"/>
      <w:szCs w:val="18"/>
      <w:u w:val="none"/>
    </w:rPr>
  </w:style>
  <w:style w:type="paragraph" w:customStyle="1" w:styleId="40">
    <w:name w:val="Char"/>
    <w:basedOn w:val="1"/>
    <w:qFormat/>
    <w:uiPriority w:val="0"/>
    <w:pPr>
      <w:tabs>
        <w:tab w:val="left" w:pos="0"/>
      </w:tabs>
    </w:pPr>
  </w:style>
  <w:style w:type="paragraph" w:customStyle="1" w:styleId="41">
    <w:name w:val="Char Char Char Char"/>
    <w:basedOn w:val="1"/>
    <w:qFormat/>
    <w:uiPriority w:val="0"/>
    <w:pPr>
      <w:spacing w:line="360" w:lineRule="auto"/>
      <w:ind w:firstLine="200" w:firstLineChars="200"/>
    </w:pPr>
    <w:rPr>
      <w:rFonts w:ascii="宋体" w:hAnsi="宋体" w:cs="宋体"/>
      <w:sz w:val="24"/>
      <w:szCs w:val="20"/>
    </w:rPr>
  </w:style>
  <w:style w:type="paragraph" w:customStyle="1" w:styleId="42">
    <w:name w:val="_Style 33"/>
    <w:basedOn w:val="1"/>
    <w:qFormat/>
    <w:uiPriority w:val="0"/>
    <w:pPr>
      <w:spacing w:line="360" w:lineRule="auto"/>
      <w:ind w:firstLine="200" w:firstLineChars="200"/>
    </w:pPr>
    <w:rPr>
      <w:rFonts w:ascii="宋体" w:hAnsi="宋体" w:cs="宋体"/>
      <w:sz w:val="24"/>
      <w:szCs w:val="20"/>
    </w:rPr>
  </w:style>
  <w:style w:type="paragraph" w:customStyle="1" w:styleId="43">
    <w:name w:val="标准文字"/>
    <w:basedOn w:val="1"/>
    <w:qFormat/>
    <w:uiPriority w:val="0"/>
    <w:pPr>
      <w:overflowPunct w:val="0"/>
      <w:adjustRightInd w:val="0"/>
      <w:snapToGrid w:val="0"/>
      <w:spacing w:line="360" w:lineRule="auto"/>
      <w:ind w:firstLine="200" w:firstLineChars="200"/>
    </w:pPr>
    <w:rPr>
      <w:kern w:val="0"/>
      <w:sz w:val="28"/>
      <w:szCs w:val="21"/>
    </w:rPr>
  </w:style>
  <w:style w:type="paragraph" w:styleId="44">
    <w:name w:val="List Paragraph"/>
    <w:basedOn w:val="1"/>
    <w:qFormat/>
    <w:uiPriority w:val="34"/>
    <w:pPr>
      <w:ind w:firstLine="420" w:firstLineChars="200"/>
    </w:pPr>
  </w:style>
  <w:style w:type="paragraph" w:customStyle="1" w:styleId="45">
    <w:name w:val="Char Char Char Char Char Char Char"/>
    <w:basedOn w:val="1"/>
    <w:qFormat/>
    <w:uiPriority w:val="0"/>
  </w:style>
  <w:style w:type="paragraph" w:customStyle="1" w:styleId="46">
    <w:name w:val="Char1"/>
    <w:basedOn w:val="1"/>
    <w:qFormat/>
    <w:uiPriority w:val="0"/>
  </w:style>
  <w:style w:type="paragraph" w:customStyle="1" w:styleId="47">
    <w:name w:val="列出段落1"/>
    <w:basedOn w:val="1"/>
    <w:qFormat/>
    <w:uiPriority w:val="0"/>
    <w:pPr>
      <w:ind w:firstLine="420" w:firstLineChars="200"/>
    </w:pPr>
    <w:rPr>
      <w:rFonts w:ascii="Calibri" w:hAnsi="Calibri"/>
      <w:szCs w:val="22"/>
    </w:rPr>
  </w:style>
  <w:style w:type="character" w:customStyle="1" w:styleId="48">
    <w:name w:val="apple-converted-space"/>
    <w:qFormat/>
    <w:uiPriority w:val="0"/>
    <w:rPr>
      <w:rFonts w:cs="Times New Roman"/>
    </w:rPr>
  </w:style>
  <w:style w:type="character" w:customStyle="1" w:styleId="49">
    <w:name w:val="NormalCharacter"/>
    <w:semiHidden/>
    <w:qFormat/>
    <w:uiPriority w:val="0"/>
  </w:style>
  <w:style w:type="paragraph" w:customStyle="1" w:styleId="50">
    <w:name w:val="BodyTextIndent2"/>
    <w:basedOn w:val="1"/>
    <w:qFormat/>
    <w:uiPriority w:val="0"/>
    <w:pPr>
      <w:widowControl/>
      <w:spacing w:line="590" w:lineRule="exact"/>
      <w:ind w:firstLine="880" w:firstLineChars="200"/>
      <w:textAlignment w:val="baseline"/>
    </w:pPr>
    <w:rPr>
      <w:rFonts w:eastAsia="方正仿宋_GBK"/>
      <w:szCs w:val="22"/>
    </w:rPr>
  </w:style>
  <w:style w:type="paragraph" w:customStyle="1" w:styleId="51">
    <w:name w:val="Char Char Char Char Char Char1 Char Char Char Char Char Char Char Char Char Char Char Char Char"/>
    <w:basedOn w:val="1"/>
    <w:qFormat/>
    <w:uiPriority w:val="0"/>
    <w:pPr>
      <w:widowControl/>
      <w:spacing w:after="160" w:line="240" w:lineRule="exact"/>
      <w:jc w:val="left"/>
    </w:pPr>
  </w:style>
  <w:style w:type="paragraph" w:customStyle="1" w:styleId="52">
    <w:name w:val="p0"/>
    <w:basedOn w:val="1"/>
    <w:qFormat/>
    <w:uiPriority w:val="0"/>
    <w:pPr>
      <w:widowControl/>
      <w:spacing w:line="365" w:lineRule="atLeast"/>
      <w:ind w:left="1"/>
    </w:pPr>
    <w:rPr>
      <w:rFonts w:ascii="Calibri" w:hAnsi="Calibri"/>
      <w:kern w:val="0"/>
      <w:sz w:val="20"/>
      <w:szCs w:val="20"/>
    </w:rPr>
  </w:style>
  <w:style w:type="character" w:customStyle="1" w:styleId="53">
    <w:name w:val="font11"/>
    <w:qFormat/>
    <w:uiPriority w:val="0"/>
    <w:rPr>
      <w:rFonts w:hint="eastAsia" w:ascii="仿宋_GB2312" w:eastAsia="仿宋_GB2312" w:cs="仿宋_GB2312"/>
      <w:color w:val="000000"/>
      <w:sz w:val="24"/>
      <w:szCs w:val="24"/>
      <w:u w:val="none"/>
      <w:vertAlign w:val="superscript"/>
    </w:rPr>
  </w:style>
  <w:style w:type="character" w:customStyle="1" w:styleId="54">
    <w:name w:val="font41"/>
    <w:qFormat/>
    <w:uiPriority w:val="0"/>
    <w:rPr>
      <w:rFonts w:hint="eastAsia" w:ascii="宋体" w:hAnsi="宋体" w:eastAsia="宋体" w:cs="宋体"/>
      <w:color w:val="000000"/>
      <w:sz w:val="24"/>
      <w:szCs w:val="24"/>
      <w:u w:val="none"/>
    </w:rPr>
  </w:style>
  <w:style w:type="character" w:customStyle="1" w:styleId="55">
    <w:name w:val="font51"/>
    <w:qFormat/>
    <w:uiPriority w:val="0"/>
    <w:rPr>
      <w:rFonts w:ascii="Malgun Gothic Semilight" w:hAnsi="Malgun Gothic Semilight" w:eastAsia="Malgun Gothic Semilight" w:cs="Malgun Gothic Semilight"/>
      <w:color w:val="000000"/>
      <w:sz w:val="24"/>
      <w:szCs w:val="24"/>
      <w:u w:val="none"/>
    </w:rPr>
  </w:style>
  <w:style w:type="character" w:customStyle="1" w:styleId="56">
    <w:name w:val="font31"/>
    <w:qFormat/>
    <w:uiPriority w:val="0"/>
    <w:rPr>
      <w:rFonts w:hint="eastAsia" w:ascii="仿宋_GB2312" w:eastAsia="仿宋_GB2312" w:cs="仿宋_GB2312"/>
      <w:color w:val="000000"/>
      <w:sz w:val="24"/>
      <w:szCs w:val="24"/>
      <w:u w:val="none"/>
    </w:rPr>
  </w:style>
  <w:style w:type="character" w:customStyle="1" w:styleId="57">
    <w:name w:val="Char Char1"/>
    <w:qFormat/>
    <w:uiPriority w:val="0"/>
    <w:rPr>
      <w:sz w:val="18"/>
      <w:szCs w:val="18"/>
    </w:rPr>
  </w:style>
  <w:style w:type="character" w:customStyle="1" w:styleId="58">
    <w:name w:val="页脚 Char"/>
    <w:basedOn w:val="16"/>
    <w:qFormat/>
    <w:uiPriority w:val="99"/>
    <w:rPr>
      <w:sz w:val="18"/>
      <w:szCs w:val="18"/>
    </w:rPr>
  </w:style>
  <w:style w:type="paragraph" w:customStyle="1" w:styleId="59">
    <w:name w:val="Char2"/>
    <w:basedOn w:val="1"/>
    <w:qFormat/>
    <w:uiPriority w:val="0"/>
    <w:pPr>
      <w:tabs>
        <w:tab w:val="left" w:pos="0"/>
      </w:tabs>
    </w:pPr>
  </w:style>
  <w:style w:type="paragraph" w:customStyle="1" w:styleId="60">
    <w:name w:val="列出段落11"/>
    <w:basedOn w:val="1"/>
    <w:qFormat/>
    <w:uiPriority w:val="0"/>
    <w:pPr>
      <w:widowControl/>
      <w:spacing w:line="600" w:lineRule="exact"/>
      <w:ind w:firstLine="420" w:firstLineChars="200"/>
      <w:jc w:val="center"/>
    </w:pPr>
    <w:rPr>
      <w:rFonts w:ascii="Calibri" w:hAnsi="Calibri"/>
      <w:szCs w:val="22"/>
    </w:rPr>
  </w:style>
  <w:style w:type="paragraph" w:customStyle="1" w:styleId="61">
    <w:name w:val="Body text|1"/>
    <w:basedOn w:val="1"/>
    <w:qFormat/>
    <w:uiPriority w:val="0"/>
    <w:pPr>
      <w:spacing w:after="240" w:line="427" w:lineRule="auto"/>
      <w:ind w:firstLine="400"/>
    </w:pPr>
    <w:rPr>
      <w:rFonts w:ascii="宋体" w:hAnsi="宋体" w:cs="宋体"/>
      <w:sz w:val="30"/>
      <w:szCs w:val="30"/>
      <w:lang w:val="zh-TW" w:eastAsia="zh-TW"/>
    </w:rPr>
  </w:style>
  <w:style w:type="character" w:customStyle="1" w:styleId="62">
    <w:name w:val="Header Char"/>
    <w:basedOn w:val="16"/>
    <w:qFormat/>
    <w:locked/>
    <w:uiPriority w:val="0"/>
    <w:rPr>
      <w:rFonts w:cs="Times New Roman"/>
      <w:sz w:val="18"/>
      <w:szCs w:val="18"/>
    </w:rPr>
  </w:style>
  <w:style w:type="paragraph" w:customStyle="1" w:styleId="63">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 w:type="paragraph" w:customStyle="1" w:styleId="64">
    <w:name w:val="公文标题1"/>
    <w:qFormat/>
    <w:uiPriority w:val="0"/>
    <w:pPr>
      <w:widowControl w:val="0"/>
      <w:adjustRightInd w:val="0"/>
      <w:spacing w:before="340" w:after="330" w:line="240" w:lineRule="atLeast"/>
      <w:ind w:firstLine="200" w:firstLineChars="200"/>
      <w:outlineLvl w:val="0"/>
    </w:pPr>
    <w:rPr>
      <w:rFonts w:ascii="Calibri" w:hAnsi="Calibri" w:eastAsia="华文中宋" w:cs="Times New Roman"/>
      <w:b/>
      <w:kern w:val="44"/>
      <w:sz w:val="36"/>
      <w:szCs w:val="22"/>
      <w:lang w:val="en-US" w:eastAsia="zh-CN" w:bidi="ar-SA"/>
    </w:rPr>
  </w:style>
  <w:style w:type="paragraph" w:customStyle="1" w:styleId="65">
    <w:name w:val="4级正文"/>
    <w:qFormat/>
    <w:uiPriority w:val="0"/>
    <w:pPr>
      <w:spacing w:line="580" w:lineRule="exact"/>
      <w:ind w:firstLine="200" w:firstLineChars="200"/>
    </w:pPr>
    <w:rPr>
      <w:rFonts w:ascii="仿宋_GB2312" w:hAnsi="仿宋_GB2312" w:eastAsia="仿宋_GB2312" w:cs="Times New Roman"/>
      <w:kern w:val="2"/>
      <w:sz w:val="32"/>
      <w:szCs w:val="22"/>
      <w:lang w:val="en-US" w:eastAsia="zh-CN" w:bidi="ar-SA"/>
    </w:rPr>
  </w:style>
  <w:style w:type="paragraph" w:customStyle="1" w:styleId="66">
    <w:name w:val="表内文字1"/>
    <w:basedOn w:val="1"/>
    <w:qFormat/>
    <w:uiPriority w:val="0"/>
    <w:pPr>
      <w:adjustRightInd w:val="0"/>
      <w:snapToGrid w:val="0"/>
      <w:jc w:val="center"/>
    </w:pPr>
    <w:rPr>
      <w:snapToGrid w:val="0"/>
      <w:kern w:val="0"/>
      <w:szCs w:val="20"/>
    </w:rPr>
  </w:style>
  <w:style w:type="character" w:customStyle="1" w:styleId="67">
    <w:name w:val="15"/>
    <w:qFormat/>
    <w:uiPriority w:val="0"/>
    <w:rPr>
      <w:rFonts w:hint="default" w:ascii="Times New Roman" w:hAnsi="Times New Roman" w:eastAsia="宋体" w:cs="Times New Roman"/>
      <w:color w:val="0000FF"/>
      <w:u w:val="single"/>
    </w:rPr>
  </w:style>
  <w:style w:type="paragraph" w:customStyle="1" w:styleId="68">
    <w:name w:val="正文（公文）"/>
    <w:basedOn w:val="1"/>
    <w:qFormat/>
    <w:uiPriority w:val="0"/>
    <w:pPr>
      <w:spacing w:line="580" w:lineRule="exact"/>
      <w:ind w:firstLine="420"/>
    </w:pPr>
    <w:rPr>
      <w:rFonts w:ascii="Calibri" w:hAnsi="Calibri" w:eastAsia="方正仿宋_GBK"/>
      <w:sz w:val="32"/>
    </w:rPr>
  </w:style>
  <w:style w:type="paragraph" w:customStyle="1" w:styleId="69">
    <w:name w:val="Char Char2"/>
    <w:basedOn w:val="1"/>
    <w:qFormat/>
    <w:uiPriority w:val="0"/>
    <w:pPr>
      <w:tabs>
        <w:tab w:val="left" w:pos="0"/>
      </w:tabs>
    </w:pPr>
  </w:style>
  <w:style w:type="paragraph" w:customStyle="1" w:styleId="70">
    <w:name w:val="文华表正文"/>
    <w:basedOn w:val="71"/>
    <w:qFormat/>
    <w:uiPriority w:val="0"/>
    <w:pPr>
      <w:ind w:firstLine="480"/>
    </w:pPr>
    <w:rPr>
      <w:rFonts w:hAnsi="宋体"/>
    </w:rPr>
  </w:style>
  <w:style w:type="paragraph" w:customStyle="1" w:styleId="71">
    <w:name w:val="报告表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9A11-051F-4B0C-AF1D-8DDB33E86FA7}">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Pages>
  <Words>519</Words>
  <Characters>2962</Characters>
  <Lines>24</Lines>
  <Paragraphs>6</Paragraphs>
  <TotalTime>6</TotalTime>
  <ScaleCrop>false</ScaleCrop>
  <LinksUpToDate>false</LinksUpToDate>
  <CharactersWithSpaces>3475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2023-03-03T01:20:00Z</dcterms:created>
  <dc:creator>雨林木风</dc:creator>
  <cp:lastModifiedBy>Administrator</cp:lastModifiedBy>
  <cp:lastPrinted>2023-01-20T02:44:00Z</cp:lastPrinted>
  <dcterms:modified xsi:type="dcterms:W3CDTF">2023-03-08T08:47:47Z</dcterms:modified>
  <dc:title>黄环〔2011〕8号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commondata">
    <vt:lpwstr>eyJoZGlkIjoiY2MxN2ZmNGVkMmY3NTJmYjljYmIyMWM4M2QzNjQyMGQifQ==</vt:lpwstr>
  </property>
  <property fmtid="{D5CDD505-2E9C-101B-9397-08002B2CF9AE}" pid="4" name="ICV">
    <vt:lpwstr>01E5C84C0EC74036879211A4AB084197</vt:lpwstr>
  </property>
</Properties>
</file>