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黄环建函〔2025〕</w:t>
      </w:r>
      <w:r>
        <w:rPr>
          <w:rFonts w:hint="eastAsia" w:eastAsia="仿宋_GB2312" w:cs="Times New Roman"/>
          <w:sz w:val="32"/>
          <w:szCs w:val="32"/>
          <w:lang w:val="en-US" w:eastAsia="zh-CN"/>
        </w:rPr>
        <w:t>42</w:t>
      </w:r>
      <w:r>
        <w:rPr>
          <w:rFonts w:hint="default" w:ascii="Times New Roman" w:hAnsi="Times New Roman" w:eastAsia="仿宋_GB2312" w:cs="Times New Roman"/>
          <w:sz w:val="32"/>
          <w:szCs w:val="32"/>
        </w:rPr>
        <w:t>号</w:t>
      </w:r>
    </w:p>
    <w:p>
      <w:pPr>
        <w:spacing w:line="560" w:lineRule="exact"/>
        <w:jc w:val="center"/>
        <w:rPr>
          <w:rFonts w:hint="default" w:ascii="Times New Roman" w:hAnsi="Times New Roman" w:eastAsia="方正小标宋简体" w:cs="Times New Roman"/>
          <w:color w:val="000000"/>
          <w:sz w:val="44"/>
          <w:szCs w:val="44"/>
        </w:rPr>
      </w:pPr>
    </w:p>
    <w:p>
      <w:pPr>
        <w:spacing w:line="560" w:lineRule="exact"/>
        <w:jc w:val="center"/>
        <w:rPr>
          <w:rFonts w:hint="default" w:ascii="Times New Roman" w:hAnsi="Times New Roman" w:eastAsia="方正小标宋简体" w:cs="Times New Roman"/>
          <w:color w:val="000000"/>
          <w:spacing w:val="-11"/>
          <w:sz w:val="44"/>
          <w:szCs w:val="44"/>
        </w:rPr>
      </w:pPr>
      <w:r>
        <w:rPr>
          <w:rFonts w:hint="default" w:ascii="Times New Roman" w:hAnsi="Times New Roman" w:eastAsia="方正小标宋简体" w:cs="Times New Roman"/>
          <w:color w:val="000000"/>
          <w:spacing w:val="-11"/>
          <w:sz w:val="44"/>
          <w:szCs w:val="44"/>
        </w:rPr>
        <w:t>关于</w:t>
      </w:r>
      <w:r>
        <w:rPr>
          <w:rFonts w:hint="eastAsia" w:eastAsia="方正小标宋简体" w:cs="Times New Roman"/>
          <w:color w:val="000000"/>
          <w:spacing w:val="-11"/>
          <w:sz w:val="44"/>
          <w:szCs w:val="44"/>
          <w:lang w:val="en-US" w:eastAsia="zh-CN"/>
        </w:rPr>
        <w:t>黄山君畅包装</w:t>
      </w:r>
      <w:r>
        <w:rPr>
          <w:rFonts w:hint="default" w:ascii="Times New Roman" w:hAnsi="Times New Roman" w:eastAsia="方正小标宋简体" w:cs="Times New Roman"/>
          <w:color w:val="000000"/>
          <w:spacing w:val="-11"/>
          <w:sz w:val="44"/>
          <w:szCs w:val="44"/>
        </w:rPr>
        <w:t>科技有限公司年产1000万</w:t>
      </w:r>
    </w:p>
    <w:p>
      <w:pPr>
        <w:spacing w:line="560" w:lineRule="exact"/>
        <w:jc w:val="center"/>
        <w:rPr>
          <w:rFonts w:hint="default" w:ascii="Times New Roman" w:hAnsi="Times New Roman" w:eastAsia="方正小标宋简体" w:cs="Times New Roman"/>
          <w:color w:val="000000"/>
          <w:spacing w:val="-11"/>
          <w:sz w:val="44"/>
          <w:szCs w:val="44"/>
        </w:rPr>
      </w:pPr>
      <w:bookmarkStart w:id="5" w:name="_GoBack"/>
      <w:bookmarkEnd w:id="5"/>
      <w:r>
        <w:rPr>
          <w:rFonts w:hint="default" w:ascii="Times New Roman" w:hAnsi="Times New Roman" w:eastAsia="方正小标宋简体" w:cs="Times New Roman"/>
          <w:color w:val="000000"/>
          <w:spacing w:val="-11"/>
          <w:sz w:val="44"/>
          <w:szCs w:val="44"/>
        </w:rPr>
        <w:t>平方米绿色包装项目环境影响报告</w:t>
      </w:r>
      <w:r>
        <w:rPr>
          <w:rFonts w:hint="eastAsia" w:eastAsia="方正小标宋简体" w:cs="Times New Roman"/>
          <w:color w:val="000000"/>
          <w:spacing w:val="-11"/>
          <w:sz w:val="44"/>
          <w:szCs w:val="44"/>
          <w:lang w:val="en-US" w:eastAsia="zh-CN"/>
        </w:rPr>
        <w:t>表</w:t>
      </w:r>
      <w:r>
        <w:rPr>
          <w:rFonts w:hint="default" w:ascii="Times New Roman" w:hAnsi="Times New Roman" w:eastAsia="方正小标宋简体" w:cs="Times New Roman"/>
          <w:color w:val="000000"/>
          <w:spacing w:val="-11"/>
          <w:sz w:val="44"/>
          <w:szCs w:val="44"/>
        </w:rPr>
        <w:t>的批复</w:t>
      </w:r>
    </w:p>
    <w:p>
      <w:pPr>
        <w:spacing w:line="560" w:lineRule="exact"/>
        <w:ind w:firstLine="480" w:firstLineChars="200"/>
        <w:rPr>
          <w:rFonts w:hint="default" w:ascii="Times New Roman" w:hAnsi="Times New Roman" w:cs="Times New Roman"/>
          <w:color w:val="000000"/>
          <w:kern w:val="0"/>
          <w:sz w:val="24"/>
          <w:szCs w:val="20"/>
        </w:rPr>
      </w:pPr>
    </w:p>
    <w:p>
      <w:pPr>
        <w:snapToGrid w:val="0"/>
        <w:spacing w:line="560" w:lineRule="exact"/>
        <w:rPr>
          <w:rFonts w:hint="default" w:ascii="Times New Roman" w:hAnsi="Times New Roman" w:eastAsia="仿宋_GB2312" w:cs="Times New Roman"/>
          <w:color w:val="000000"/>
          <w:sz w:val="32"/>
          <w:szCs w:val="32"/>
          <w:lang w:val="zh-CN"/>
        </w:rPr>
      </w:pPr>
      <w:r>
        <w:rPr>
          <w:rFonts w:hint="eastAsia" w:eastAsia="仿宋_GB2312" w:cs="Times New Roman"/>
          <w:color w:val="000000"/>
          <w:sz w:val="32"/>
          <w:szCs w:val="32"/>
          <w:lang w:val="en-US" w:eastAsia="zh-CN"/>
        </w:rPr>
        <w:t>黄山君畅包装</w:t>
      </w:r>
      <w:r>
        <w:rPr>
          <w:rFonts w:hint="default" w:ascii="Times New Roman" w:hAnsi="Times New Roman" w:eastAsia="仿宋_GB2312" w:cs="Times New Roman"/>
          <w:color w:val="000000"/>
          <w:sz w:val="32"/>
          <w:szCs w:val="32"/>
          <w:lang w:val="zh-CN"/>
        </w:rPr>
        <w:t>科技有限公司</w:t>
      </w:r>
      <w:r>
        <w:rPr>
          <w:rFonts w:hint="eastAsia" w:ascii="Times New Roman" w:hAnsi="Times New Roman" w:eastAsia="仿宋_GB2312" w:cs="Times New Roman"/>
          <w:color w:val="000000"/>
          <w:sz w:val="32"/>
          <w:szCs w:val="32"/>
          <w:lang w:val="zh-CN"/>
        </w:rPr>
        <w:t>：</w:t>
      </w:r>
      <w:r>
        <w:rPr>
          <w:rFonts w:hint="default" w:ascii="Times New Roman" w:hAnsi="Times New Roman" w:eastAsia="仿宋_GB2312" w:cs="Times New Roman"/>
          <w:color w:val="000000"/>
          <w:sz w:val="32"/>
          <w:szCs w:val="32"/>
          <w:lang w:val="zh-CN"/>
        </w:rPr>
        <w:tab/>
      </w:r>
    </w:p>
    <w:p>
      <w:pPr>
        <w:snapToGrid w:val="0"/>
        <w:spacing w:line="56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你公司报来年产1000万平方米绿色包装项目《行政许可申请书》和</w:t>
      </w:r>
      <w:r>
        <w:rPr>
          <w:rFonts w:hint="eastAsia" w:eastAsia="仿宋_GB2312" w:cs="Times New Roman"/>
          <w:color w:val="000000"/>
          <w:sz w:val="32"/>
          <w:szCs w:val="32"/>
          <w:lang w:val="en-US" w:eastAsia="zh-CN"/>
        </w:rPr>
        <w:t>安徽众远环境科技</w:t>
      </w:r>
      <w:r>
        <w:rPr>
          <w:rFonts w:hint="default" w:ascii="Times New Roman" w:hAnsi="Times New Roman" w:eastAsia="仿宋_GB2312" w:cs="Times New Roman"/>
          <w:color w:val="000000"/>
          <w:sz w:val="32"/>
          <w:szCs w:val="32"/>
          <w:lang w:val="zh-CN"/>
        </w:rPr>
        <w:t>有限公司编制的《黄山君畅包装科技有限公司年产1000万平方米绿色包装项目</w:t>
      </w:r>
      <w:r>
        <w:rPr>
          <w:rFonts w:hint="default" w:ascii="Times New Roman" w:hAnsi="Times New Roman" w:eastAsia="仿宋_GB2312" w:cs="Times New Roman"/>
          <w:color w:val="000000"/>
          <w:sz w:val="32"/>
          <w:szCs w:val="32"/>
        </w:rPr>
        <w:t>环境影响报告</w:t>
      </w:r>
      <w:r>
        <w:rPr>
          <w:rFonts w:hint="eastAsia"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lang w:val="zh-CN"/>
        </w:rPr>
        <w:t>》（以下简称《报告</w:t>
      </w:r>
      <w:r>
        <w:rPr>
          <w:rFonts w:hint="eastAsia"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lang w:val="zh-CN"/>
        </w:rPr>
        <w:t>》）悉。经组织专家</w:t>
      </w:r>
      <w:r>
        <w:rPr>
          <w:rFonts w:hint="eastAsia" w:eastAsia="仿宋_GB2312" w:cs="Times New Roman"/>
          <w:color w:val="000000"/>
          <w:sz w:val="32"/>
          <w:szCs w:val="32"/>
          <w:lang w:val="en-US" w:eastAsia="zh-CN"/>
        </w:rPr>
        <w:t>函审</w:t>
      </w:r>
      <w:r>
        <w:rPr>
          <w:rFonts w:hint="default" w:ascii="Times New Roman" w:hAnsi="Times New Roman" w:eastAsia="仿宋_GB2312" w:cs="Times New Roman"/>
          <w:color w:val="000000"/>
          <w:sz w:val="32"/>
          <w:szCs w:val="32"/>
          <w:lang w:val="zh-CN"/>
        </w:rPr>
        <w:t>，并在黄山市生态环境局网站公示，公众无异议。经研究，现对《报告</w:t>
      </w:r>
      <w:r>
        <w:rPr>
          <w:rFonts w:hint="eastAsia"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lang w:val="zh-CN"/>
        </w:rPr>
        <w:t>》批复如下：</w:t>
      </w:r>
    </w:p>
    <w:p>
      <w:pPr>
        <w:numPr>
          <w:ilvl w:val="0"/>
          <w:numId w:val="1"/>
        </w:numPr>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zh-CN"/>
        </w:rPr>
        <w:t>项目拟在黄山高新技术产业开发区</w:t>
      </w:r>
      <w:r>
        <w:rPr>
          <w:rFonts w:hint="eastAsia" w:eastAsia="仿宋_GB2312" w:cs="Times New Roman"/>
          <w:color w:val="000000"/>
          <w:sz w:val="32"/>
          <w:szCs w:val="32"/>
          <w:lang w:val="en-US" w:eastAsia="zh-CN"/>
        </w:rPr>
        <w:t>飞龙路南侧</w:t>
      </w:r>
      <w:r>
        <w:rPr>
          <w:rFonts w:hint="default" w:ascii="Times New Roman" w:hAnsi="Times New Roman" w:eastAsia="仿宋_GB2312" w:cs="Times New Roman"/>
          <w:color w:val="000000"/>
          <w:sz w:val="32"/>
          <w:szCs w:val="32"/>
          <w:lang w:val="zh-CN"/>
        </w:rPr>
        <w:t>（东经118度1</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zh-CN"/>
        </w:rPr>
        <w:t>分</w:t>
      </w:r>
      <w:r>
        <w:rPr>
          <w:rFonts w:hint="eastAsia" w:eastAsia="仿宋_GB2312" w:cs="Times New Roman"/>
          <w:color w:val="000000"/>
          <w:sz w:val="32"/>
          <w:szCs w:val="32"/>
          <w:lang w:val="en-US" w:eastAsia="zh-CN"/>
        </w:rPr>
        <w:t>20.644</w:t>
      </w:r>
      <w:r>
        <w:rPr>
          <w:rFonts w:hint="default" w:ascii="Times New Roman" w:hAnsi="Times New Roman" w:eastAsia="仿宋_GB2312" w:cs="Times New Roman"/>
          <w:color w:val="000000"/>
          <w:sz w:val="32"/>
          <w:szCs w:val="32"/>
          <w:lang w:val="zh-CN"/>
        </w:rPr>
        <w:t>秒，北纬29度47分</w:t>
      </w:r>
      <w:r>
        <w:rPr>
          <w:rFonts w:hint="eastAsia" w:eastAsia="仿宋_GB2312" w:cs="Times New Roman"/>
          <w:color w:val="000000"/>
          <w:sz w:val="32"/>
          <w:szCs w:val="32"/>
          <w:lang w:val="en-US" w:eastAsia="zh-CN"/>
        </w:rPr>
        <w:t>15.602</w:t>
      </w:r>
      <w:r>
        <w:rPr>
          <w:rFonts w:hint="default" w:ascii="Times New Roman" w:hAnsi="Times New Roman" w:eastAsia="仿宋_GB2312" w:cs="Times New Roman"/>
          <w:color w:val="000000"/>
          <w:sz w:val="32"/>
          <w:szCs w:val="32"/>
          <w:lang w:val="zh-CN"/>
        </w:rPr>
        <w:t>秒）建设，用地面积3602.76</w:t>
      </w:r>
      <w:r>
        <w:rPr>
          <w:rFonts w:hint="eastAsia" w:eastAsia="仿宋_GB2312" w:cs="Times New Roman"/>
          <w:color w:val="000000"/>
          <w:sz w:val="32"/>
          <w:szCs w:val="32"/>
          <w:lang w:val="en-US" w:eastAsia="zh-CN"/>
        </w:rPr>
        <w:t>平方米</w:t>
      </w:r>
      <w:r>
        <w:rPr>
          <w:rFonts w:hint="default" w:ascii="Times New Roman" w:hAnsi="Times New Roman" w:eastAsia="仿宋_GB2312" w:cs="Times New Roman"/>
          <w:color w:val="000000"/>
          <w:sz w:val="32"/>
          <w:szCs w:val="32"/>
          <w:lang w:val="zh-CN"/>
        </w:rPr>
        <w:t>，总建筑面积</w:t>
      </w:r>
      <w:r>
        <w:rPr>
          <w:rFonts w:hint="eastAsia" w:eastAsia="仿宋_GB2312" w:cs="Times New Roman"/>
          <w:color w:val="000000"/>
          <w:sz w:val="32"/>
          <w:szCs w:val="32"/>
          <w:lang w:val="en-US" w:eastAsia="zh-CN"/>
        </w:rPr>
        <w:t>5204.73</w:t>
      </w:r>
      <w:r>
        <w:rPr>
          <w:rFonts w:hint="default" w:ascii="Times New Roman" w:hAnsi="Times New Roman" w:eastAsia="仿宋_GB2312" w:cs="Times New Roman"/>
          <w:color w:val="000000"/>
          <w:sz w:val="32"/>
          <w:szCs w:val="32"/>
          <w:lang w:val="zh-CN"/>
        </w:rPr>
        <w:t>平方米，总投资</w:t>
      </w:r>
      <w:r>
        <w:rPr>
          <w:rFonts w:hint="eastAsia" w:eastAsia="仿宋_GB2312" w:cs="Times New Roman"/>
          <w:color w:val="000000"/>
          <w:sz w:val="32"/>
          <w:szCs w:val="32"/>
          <w:lang w:val="en-US" w:eastAsia="zh-CN"/>
        </w:rPr>
        <w:t>2498</w:t>
      </w:r>
      <w:r>
        <w:rPr>
          <w:rFonts w:hint="default" w:ascii="Times New Roman" w:hAnsi="Times New Roman" w:eastAsia="仿宋_GB2312" w:cs="Times New Roman"/>
          <w:color w:val="000000"/>
          <w:sz w:val="32"/>
          <w:szCs w:val="32"/>
          <w:lang w:val="zh-CN"/>
        </w:rPr>
        <w:t>万元，其中环保投资</w:t>
      </w:r>
      <w:r>
        <w:rPr>
          <w:rFonts w:hint="eastAsia" w:eastAsia="仿宋_GB2312" w:cs="Times New Roman"/>
          <w:color w:val="000000"/>
          <w:sz w:val="32"/>
          <w:szCs w:val="32"/>
          <w:lang w:val="en-US" w:eastAsia="zh-CN"/>
        </w:rPr>
        <w:t>120</w:t>
      </w:r>
      <w:r>
        <w:rPr>
          <w:rFonts w:hint="default" w:ascii="Times New Roman" w:hAnsi="Times New Roman" w:eastAsia="仿宋_GB2312" w:cs="Times New Roman"/>
          <w:color w:val="000000"/>
          <w:sz w:val="32"/>
          <w:szCs w:val="32"/>
          <w:lang w:val="zh-CN"/>
        </w:rPr>
        <w:t>万元。主要</w:t>
      </w:r>
      <w:r>
        <w:rPr>
          <w:rFonts w:hint="eastAsia" w:ascii="Times New Roman" w:hAnsi="Times New Roman" w:eastAsia="仿宋_GB2312" w:cs="Times New Roman"/>
          <w:color w:val="000000"/>
          <w:sz w:val="32"/>
          <w:szCs w:val="32"/>
          <w:lang w:val="zh-CN" w:eastAsia="zh-CN"/>
        </w:rPr>
        <w:t>新建标准化厂房</w:t>
      </w:r>
      <w:r>
        <w:rPr>
          <w:rFonts w:hint="default" w:ascii="Times New Roman" w:hAnsi="Times New Roman" w:eastAsia="仿宋_GB2312" w:cs="Times New Roman"/>
          <w:color w:val="000000"/>
          <w:sz w:val="32"/>
          <w:szCs w:val="32"/>
          <w:lang w:val="zh-CN"/>
        </w:rPr>
        <w:t>，购置</w:t>
      </w:r>
      <w:r>
        <w:rPr>
          <w:rFonts w:hint="eastAsia" w:ascii="Times New Roman" w:hAnsi="Times New Roman" w:eastAsia="仿宋_GB2312" w:cs="Times New Roman"/>
          <w:color w:val="000000"/>
          <w:sz w:val="32"/>
          <w:szCs w:val="32"/>
          <w:lang w:val="zh-CN"/>
        </w:rPr>
        <w:t>水性印刷等生产设备</w:t>
      </w:r>
      <w:r>
        <w:rPr>
          <w:rFonts w:hint="eastAsia" w:ascii="Times New Roman" w:hAnsi="Times New Roman" w:eastAsia="仿宋_GB2312" w:cs="Times New Roman"/>
          <w:color w:val="000000"/>
          <w:sz w:val="32"/>
          <w:szCs w:val="32"/>
          <w:lang w:val="en-US" w:eastAsia="zh-CN"/>
        </w:rPr>
        <w:t>16台套</w:t>
      </w:r>
      <w:r>
        <w:rPr>
          <w:rFonts w:hint="default" w:ascii="Times New Roman" w:hAnsi="Times New Roman" w:eastAsia="仿宋_GB2312" w:cs="Times New Roman"/>
          <w:color w:val="000000"/>
          <w:sz w:val="32"/>
          <w:szCs w:val="32"/>
          <w:lang w:val="zh-CN"/>
        </w:rPr>
        <w:t>，配套建设相应的环保设施、环境风险防范措施以及公用、辅助、储运等设施，项目建成后年产1000万平方米纸箱</w:t>
      </w:r>
      <w:r>
        <w:rPr>
          <w:rFonts w:hint="default" w:ascii="Times New Roman" w:hAnsi="Times New Roman" w:eastAsia="仿宋_GB2312" w:cs="Times New Roman"/>
          <w:b w:val="0"/>
          <w:bCs w:val="0"/>
          <w:color w:val="000000"/>
          <w:sz w:val="32"/>
          <w:szCs w:val="32"/>
          <w:highlight w:val="none"/>
          <w:shd w:val="clear" w:color="auto" w:fill="auto"/>
          <w:lang w:eastAsia="zh-CN"/>
        </w:rPr>
        <w:t>。</w:t>
      </w:r>
    </w:p>
    <w:p>
      <w:pPr>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zh-CN"/>
        </w:rPr>
        <w:t>二、从生态环境保护角度，我局同意你公司按《报告</w:t>
      </w:r>
      <w:r>
        <w:rPr>
          <w:rFonts w:hint="eastAsia"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lang w:val="zh-CN"/>
        </w:rPr>
        <w:t>》所列建设项目的性质、规模、地点、采用的生产工艺和拟采取的各项环境保护措施进行建设，并重点做好以下工作：</w:t>
      </w:r>
    </w:p>
    <w:p>
      <w:pPr>
        <w:widowControl/>
        <w:spacing w:line="560" w:lineRule="exact"/>
        <w:ind w:firstLine="640" w:firstLineChars="200"/>
        <w:rPr>
          <w:rFonts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、落实地表水环境保护措施。</w:t>
      </w:r>
      <w:r>
        <w:rPr>
          <w:rFonts w:hint="eastAsia" w:eastAsia="仿宋_GB2312" w:cs="Times New Roman"/>
          <w:color w:val="000000"/>
          <w:sz w:val="32"/>
          <w:szCs w:val="32"/>
          <w:lang w:val="en-US" w:eastAsia="zh-CN"/>
        </w:rPr>
        <w:t>项目排水系统应实行雨污分流、污污分质，全厂雨污管网、应急导流管网系统应畅通。项目印刷设备清洗废水经0.5m</w:t>
      </w:r>
      <w:r>
        <w:rPr>
          <w:rFonts w:hint="eastAsia" w:eastAsia="仿宋_GB2312" w:cs="Times New Roman"/>
          <w:color w:val="000000"/>
          <w:sz w:val="32"/>
          <w:szCs w:val="32"/>
          <w:vertAlign w:val="superscript"/>
          <w:lang w:val="en-US" w:eastAsia="zh-CN"/>
        </w:rPr>
        <w:t>3</w:t>
      </w:r>
      <w:r>
        <w:rPr>
          <w:rFonts w:hint="eastAsia" w:eastAsia="仿宋_GB2312" w:cs="Times New Roman"/>
          <w:color w:val="000000"/>
          <w:sz w:val="32"/>
          <w:szCs w:val="32"/>
          <w:lang w:val="en-US" w:eastAsia="zh-CN"/>
        </w:rPr>
        <w:t>/d“混凝沉淀脱色+活性炭吸附”污水处理站处理后与生活污水一并经调节池均质处理后废水中pH、COD、BOD</w:t>
      </w:r>
      <w:r>
        <w:rPr>
          <w:rFonts w:hint="eastAsia" w:eastAsia="仿宋_GB2312" w:cs="Times New Roman"/>
          <w:color w:val="000000"/>
          <w:sz w:val="32"/>
          <w:szCs w:val="32"/>
          <w:vertAlign w:val="subscript"/>
          <w:lang w:val="en-US" w:eastAsia="zh-CN"/>
        </w:rPr>
        <w:t>5</w:t>
      </w:r>
      <w:r>
        <w:rPr>
          <w:rFonts w:hint="eastAsia" w:eastAsia="仿宋_GB2312" w:cs="Times New Roman"/>
          <w:color w:val="000000"/>
          <w:sz w:val="32"/>
          <w:szCs w:val="32"/>
          <w:lang w:val="en-US" w:eastAsia="zh-CN"/>
        </w:rPr>
        <w:t>、SS、</w:t>
      </w:r>
      <w:r>
        <w:rPr>
          <w:rFonts w:hint="eastAsia" w:ascii="Times New Roman" w:hAnsi="Times New Roman" w:eastAsia="仿宋_GB2312" w:cs="Times New Roman"/>
          <w:color w:val="000000"/>
          <w:sz w:val="32"/>
          <w:szCs w:val="32"/>
          <w:lang w:val="en-US" w:eastAsia="zh-CN"/>
        </w:rPr>
        <w:t>氨氮、总氮、总磷、色度、石油类等污染物指标达到《污水综合排放标准》（</w:t>
      </w:r>
      <w:r>
        <w:rPr>
          <w:rFonts w:hint="eastAsia" w:eastAsia="仿宋_GB2312" w:cs="Times New Roman"/>
          <w:color w:val="000000"/>
          <w:sz w:val="32"/>
          <w:szCs w:val="32"/>
          <w:lang w:val="en-US" w:eastAsia="zh-CN"/>
        </w:rPr>
        <w:t>GB8978- 1996）表4中的三级标准及《污水排入城镇下水道水质标准》（GB/T31962-2015）表1中B级限值后，通过市政污水管网排入黄山市第二水质净化厂处理达标后排入横江</w:t>
      </w:r>
      <w:r>
        <w:rPr>
          <w:rFonts w:hint="eastAsia" w:ascii="Times New Roman" w:hAnsi="Times New Roman" w:eastAsia="仿宋_GB2312" w:cs="Times New Roman"/>
          <w:color w:val="000000"/>
          <w:sz w:val="32"/>
          <w:szCs w:val="32"/>
          <w:lang w:val="en-US" w:eastAsia="zh-CN"/>
        </w:rPr>
        <w:t>。</w:t>
      </w:r>
    </w:p>
    <w:p>
      <w:pPr>
        <w:widowControl/>
        <w:spacing w:line="560" w:lineRule="exact"/>
        <w:ind w:firstLine="640"/>
        <w:rPr>
          <w:rFonts w:hint="eastAsia" w:ascii="Times New Roman" w:hAnsi="Times New Roman" w:eastAsia="仿宋_GB2312" w:cs="Times New Roman"/>
          <w:bCs/>
          <w:color w:val="000000"/>
          <w:sz w:val="32"/>
          <w:szCs w:val="32"/>
          <w:lang w:val="en-US" w:eastAsia="zh-CN"/>
        </w:rPr>
      </w:pP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、落实大气污染防治措施。</w:t>
      </w:r>
      <w:r>
        <w:rPr>
          <w:rFonts w:hint="default" w:ascii="Times New Roman" w:hAnsi="Times New Roman" w:eastAsia="仿宋_GB2312" w:cs="Times New Roman"/>
          <w:bCs/>
          <w:color w:val="000000"/>
          <w:sz w:val="32"/>
          <w:szCs w:val="32"/>
        </w:rPr>
        <w:t>项目应确保所在区域环境空气质量达到《环境空气质量标准》（GB3095-2012）及2018年修改单中规定的二级浓度限值，非甲烷总烃执行《大气污染物综合排放标准详解》中的推荐值标准。</w:t>
      </w:r>
    </w:p>
    <w:p>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000000"/>
          <w:sz w:val="32"/>
          <w:szCs w:val="32"/>
        </w:rPr>
        <w:t>加强</w:t>
      </w:r>
      <w:r>
        <w:rPr>
          <w:rFonts w:hint="default" w:ascii="Times New Roman" w:hAnsi="Times New Roman" w:eastAsia="仿宋_GB2312" w:cs="Times New Roman"/>
          <w:bCs/>
          <w:color w:val="000000"/>
          <w:sz w:val="32"/>
          <w:szCs w:val="32"/>
          <w:lang w:eastAsia="zh-CN"/>
        </w:rPr>
        <w:t>原料</w:t>
      </w:r>
      <w:r>
        <w:rPr>
          <w:rFonts w:hint="default" w:ascii="Times New Roman" w:hAnsi="Times New Roman" w:eastAsia="仿宋_GB2312" w:cs="Times New Roman"/>
          <w:bCs/>
          <w:color w:val="000000"/>
          <w:sz w:val="32"/>
          <w:szCs w:val="32"/>
        </w:rPr>
        <w:t>储存、输送、生产等全过</w:t>
      </w:r>
      <w:r>
        <w:rPr>
          <w:rFonts w:hint="default" w:ascii="Times New Roman" w:hAnsi="Times New Roman" w:eastAsia="仿宋_GB2312" w:cs="Times New Roman"/>
          <w:color w:val="auto"/>
          <w:sz w:val="32"/>
          <w:szCs w:val="32"/>
        </w:rPr>
        <w:t>程封闭管控，废气均纳入有组织收集和处理，最大限度减少无组织逸散，项目废气处理活性炭定期更换，确保废气稳定达标排放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按要求建设规范化</w:t>
      </w:r>
      <w:r>
        <w:rPr>
          <w:rFonts w:hint="default" w:ascii="Times New Roman" w:hAnsi="Times New Roman" w:eastAsia="仿宋_GB2312" w:cs="Times New Roman"/>
          <w:color w:val="auto"/>
          <w:sz w:val="32"/>
          <w:szCs w:val="32"/>
          <w:lang w:eastAsia="zh-CN"/>
        </w:rPr>
        <w:t>废气</w:t>
      </w:r>
      <w:r>
        <w:rPr>
          <w:rFonts w:hint="default" w:ascii="Times New Roman" w:hAnsi="Times New Roman" w:eastAsia="仿宋_GB2312" w:cs="Times New Roman"/>
          <w:color w:val="auto"/>
          <w:sz w:val="32"/>
          <w:szCs w:val="32"/>
        </w:rPr>
        <w:t>排</w:t>
      </w:r>
      <w:r>
        <w:rPr>
          <w:rFonts w:hint="default" w:ascii="Times New Roman" w:hAnsi="Times New Roman" w:eastAsia="仿宋_GB2312" w:cs="Times New Roman"/>
          <w:color w:val="auto"/>
          <w:sz w:val="32"/>
          <w:szCs w:val="32"/>
          <w:lang w:eastAsia="zh-CN"/>
        </w:rPr>
        <w:t>放</w:t>
      </w:r>
      <w:r>
        <w:rPr>
          <w:rFonts w:hint="default" w:ascii="Times New Roman" w:hAnsi="Times New Roman" w:eastAsia="仿宋_GB2312" w:cs="Times New Roman"/>
          <w:color w:val="auto"/>
          <w:sz w:val="32"/>
          <w:szCs w:val="32"/>
        </w:rPr>
        <w:t>口。</w:t>
      </w:r>
    </w:p>
    <w:p>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项目设置密闭印刷间、危废间，印刷间内上料、印刷、烘干、上光废气经进出口处集气罩收集，印刷间废气、危废间废气经负压收集，以上废气一并经“除雾器+</w:t>
      </w:r>
      <w:r>
        <w:rPr>
          <w:rFonts w:hint="default" w:ascii="Times New Roman" w:hAnsi="Times New Roman" w:eastAsia="仿宋_GB2312" w:cs="Times New Roman"/>
          <w:color w:val="auto"/>
          <w:sz w:val="32"/>
          <w:szCs w:val="32"/>
          <w:lang w:val="en-US" w:eastAsia="zh-CN"/>
        </w:rPr>
        <w:t>二级</w:t>
      </w:r>
      <w:r>
        <w:rPr>
          <w:rFonts w:hint="eastAsia" w:ascii="Times New Roman" w:hAnsi="Times New Roman" w:eastAsia="仿宋_GB2312" w:cs="Times New Roman"/>
          <w:color w:val="auto"/>
          <w:sz w:val="32"/>
          <w:szCs w:val="32"/>
          <w:lang w:val="en-US" w:eastAsia="zh-CN"/>
        </w:rPr>
        <w:t>颗粒</w:t>
      </w:r>
      <w:r>
        <w:rPr>
          <w:rFonts w:hint="default" w:ascii="Times New Roman" w:hAnsi="Times New Roman" w:eastAsia="仿宋_GB2312" w:cs="Times New Roman"/>
          <w:color w:val="auto"/>
          <w:sz w:val="32"/>
          <w:szCs w:val="32"/>
          <w:lang w:val="en-US" w:eastAsia="zh-CN"/>
        </w:rPr>
        <w:t>活性炭吸附装置</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处理后</w:t>
      </w:r>
      <w:r>
        <w:rPr>
          <w:rFonts w:hint="eastAsia" w:ascii="Times New Roman" w:hAnsi="Times New Roman" w:eastAsia="仿宋_GB2312" w:cs="Times New Roman"/>
          <w:color w:val="auto"/>
          <w:sz w:val="32"/>
          <w:szCs w:val="32"/>
          <w:lang w:val="en-US" w:eastAsia="zh-CN"/>
        </w:rPr>
        <w:t>经</w:t>
      </w:r>
      <w:r>
        <w:rPr>
          <w:rFonts w:hint="default" w:ascii="Times New Roman" w:hAnsi="Times New Roman" w:eastAsia="仿宋_GB2312" w:cs="Times New Roman"/>
          <w:color w:val="auto"/>
          <w:sz w:val="32"/>
          <w:szCs w:val="32"/>
          <w:lang w:val="en-US" w:eastAsia="zh-CN"/>
        </w:rPr>
        <w:t>不低于</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m高排气筒排放</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FF0000"/>
          <w:sz w:val="32"/>
          <w:szCs w:val="32"/>
          <w:lang w:eastAsia="zh-CN"/>
        </w:rPr>
      </w:pPr>
      <w:bookmarkStart w:id="0" w:name="OLE_LINK510"/>
      <w:bookmarkStart w:id="1" w:name="OLE_LINK160"/>
      <w:r>
        <w:rPr>
          <w:rFonts w:hint="default" w:ascii="Times New Roman" w:hAnsi="Times New Roman" w:eastAsia="仿宋_GB2312" w:cs="Times New Roman"/>
          <w:color w:val="000000"/>
          <w:sz w:val="32"/>
          <w:szCs w:val="32"/>
          <w:lang w:val="zh-CN"/>
        </w:rPr>
        <w:t>项目非甲烷总烃有组织及厂区内无组织排放应达到《固定源挥发性有机物综合排放标准第</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zh-CN"/>
        </w:rPr>
        <w:t>部分：</w:t>
      </w:r>
      <w:r>
        <w:rPr>
          <w:rFonts w:hint="eastAsia" w:eastAsia="仿宋_GB2312" w:cs="Times New Roman"/>
          <w:color w:val="000000"/>
          <w:sz w:val="32"/>
          <w:szCs w:val="32"/>
          <w:lang w:val="en-US" w:eastAsia="zh-CN"/>
        </w:rPr>
        <w:t>印刷工业</w:t>
      </w:r>
      <w:r>
        <w:rPr>
          <w:rFonts w:hint="default" w:ascii="Times New Roman" w:hAnsi="Times New Roman" w:eastAsia="仿宋_GB2312" w:cs="Times New Roman"/>
          <w:color w:val="000000"/>
          <w:sz w:val="32"/>
          <w:szCs w:val="32"/>
          <w:lang w:val="zh-CN"/>
        </w:rPr>
        <w:t>》（DB 34/4812.4-2024）中表1、表</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zh-CN"/>
        </w:rPr>
        <w:t>中相应排放限值及管控要求</w:t>
      </w:r>
      <w:bookmarkStart w:id="2" w:name="OLE_LINK2"/>
      <w:r>
        <w:rPr>
          <w:rFonts w:hint="eastAsia" w:eastAsia="仿宋_GB2312" w:cs="Times New Roman"/>
          <w:color w:val="000000"/>
          <w:sz w:val="32"/>
          <w:szCs w:val="32"/>
          <w:lang w:val="zh-CN"/>
        </w:rPr>
        <w:t>，</w:t>
      </w:r>
      <w:r>
        <w:rPr>
          <w:rFonts w:hint="eastAsia" w:eastAsia="仿宋_GB2312" w:cs="Times New Roman"/>
          <w:color w:val="000000"/>
          <w:sz w:val="32"/>
          <w:szCs w:val="32"/>
          <w:lang w:val="en-US" w:eastAsia="zh-CN"/>
        </w:rPr>
        <w:t>厂界</w:t>
      </w:r>
      <w:r>
        <w:rPr>
          <w:rFonts w:hint="default" w:ascii="Times New Roman" w:hAnsi="Times New Roman" w:eastAsia="仿宋_GB2312" w:cs="Times New Roman"/>
          <w:color w:val="000000"/>
          <w:sz w:val="32"/>
          <w:szCs w:val="32"/>
          <w:lang w:val="en-US" w:eastAsia="zh-CN"/>
        </w:rPr>
        <w:t>无组织排放的</w:t>
      </w:r>
      <w:r>
        <w:rPr>
          <w:rFonts w:hint="eastAsia" w:eastAsia="仿宋_GB2312" w:cs="Times New Roman"/>
          <w:color w:val="000000"/>
          <w:sz w:val="32"/>
          <w:szCs w:val="32"/>
          <w:lang w:val="en-US" w:eastAsia="zh-CN"/>
        </w:rPr>
        <w:t>非甲烷总烃</w:t>
      </w:r>
      <w:r>
        <w:rPr>
          <w:rFonts w:hint="default" w:ascii="Times New Roman" w:hAnsi="Times New Roman" w:eastAsia="仿宋_GB2312" w:cs="Times New Roman"/>
          <w:color w:val="000000"/>
          <w:sz w:val="32"/>
          <w:szCs w:val="32"/>
        </w:rPr>
        <w:t>浓度应达</w:t>
      </w:r>
      <w:r>
        <w:rPr>
          <w:rFonts w:hint="default" w:ascii="Times New Roman" w:hAnsi="Times New Roman" w:eastAsia="仿宋_GB2312" w:cs="Times New Roman"/>
          <w:color w:val="000000"/>
          <w:sz w:val="32"/>
          <w:szCs w:val="32"/>
          <w:lang w:val="zh-CN"/>
        </w:rPr>
        <w:t>到</w:t>
      </w:r>
      <w:bookmarkEnd w:id="2"/>
      <w:r>
        <w:rPr>
          <w:rFonts w:hint="default" w:ascii="Times New Roman" w:hAnsi="Times New Roman" w:eastAsia="仿宋_GB2312" w:cs="Times New Roman"/>
          <w:color w:val="000000"/>
          <w:sz w:val="32"/>
          <w:szCs w:val="32"/>
          <w:lang w:val="zh-CN"/>
        </w:rPr>
        <w:t>《挥发性有机物无组织排放控制标准》（GB37822-2019）限值及管控要求</w:t>
      </w:r>
      <w:r>
        <w:rPr>
          <w:rFonts w:hint="eastAsia" w:ascii="Times New Roman" w:hAnsi="Times New Roman" w:eastAsia="仿宋_GB2312" w:cs="Times New Roman"/>
          <w:color w:val="000000"/>
          <w:sz w:val="32"/>
          <w:szCs w:val="32"/>
          <w:lang w:val="zh-CN" w:eastAsia="zh-CN"/>
        </w:rPr>
        <w:t>。</w:t>
      </w:r>
    </w:p>
    <w:p>
      <w:pPr>
        <w:widowControl/>
        <w:numPr>
          <w:ilvl w:val="0"/>
          <w:numId w:val="0"/>
        </w:numPr>
        <w:snapToGrid w:val="0"/>
        <w:spacing w:line="560" w:lineRule="exact"/>
        <w:ind w:firstLine="640" w:firstLineChars="200"/>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000000"/>
          <w:sz w:val="32"/>
          <w:szCs w:val="32"/>
          <w:lang w:val="zh-CN" w:eastAsia="zh-CN"/>
        </w:rPr>
        <w:t>项目产品使用水性</w:t>
      </w:r>
      <w:r>
        <w:rPr>
          <w:rFonts w:hint="eastAsia" w:ascii="Times New Roman" w:hAnsi="Times New Roman" w:eastAsia="仿宋_GB2312" w:cs="Times New Roman"/>
          <w:color w:val="000000"/>
          <w:sz w:val="32"/>
          <w:szCs w:val="32"/>
          <w:lang w:val="en-US" w:eastAsia="zh-CN"/>
        </w:rPr>
        <w:t>油墨、水性上光油</w:t>
      </w:r>
      <w:r>
        <w:rPr>
          <w:rFonts w:hint="default" w:ascii="Times New Roman" w:hAnsi="Times New Roman" w:eastAsia="仿宋_GB2312" w:cs="Times New Roman"/>
          <w:color w:val="000000"/>
          <w:sz w:val="32"/>
          <w:szCs w:val="32"/>
          <w:lang w:val="zh-CN" w:eastAsia="zh-CN"/>
        </w:rPr>
        <w:t>，项目使用的</w:t>
      </w:r>
      <w:r>
        <w:rPr>
          <w:rFonts w:hint="eastAsia" w:ascii="Times New Roman" w:hAnsi="Times New Roman" w:eastAsia="仿宋_GB2312" w:cs="Times New Roman"/>
          <w:color w:val="000000"/>
          <w:sz w:val="32"/>
          <w:szCs w:val="32"/>
          <w:lang w:val="en-US" w:eastAsia="zh-CN"/>
        </w:rPr>
        <w:t>油墨、上光油</w:t>
      </w:r>
      <w:r>
        <w:rPr>
          <w:rFonts w:hint="default" w:ascii="Times New Roman" w:hAnsi="Times New Roman" w:eastAsia="仿宋_GB2312" w:cs="Times New Roman"/>
          <w:color w:val="000000"/>
          <w:sz w:val="32"/>
          <w:szCs w:val="32"/>
          <w:lang w:val="zh-CN" w:eastAsia="zh-CN"/>
        </w:rPr>
        <w:t>应满足《油墨中可挥发性有机物含量限值》（GB38507-2020）</w:t>
      </w:r>
      <w:r>
        <w:rPr>
          <w:rFonts w:hint="eastAsia" w:ascii="Times New Roman" w:hAnsi="Times New Roman" w:eastAsia="仿宋_GB2312" w:cs="Times New Roman"/>
          <w:color w:val="000000"/>
          <w:sz w:val="32"/>
          <w:szCs w:val="32"/>
          <w:lang w:val="en-US" w:eastAsia="zh-CN"/>
        </w:rPr>
        <w:t>中水性油墨中柔印油墨限值要求、</w:t>
      </w:r>
      <w:r>
        <w:rPr>
          <w:rFonts w:hint="default" w:ascii="Times New Roman" w:hAnsi="Times New Roman" w:eastAsia="仿宋_GB2312" w:cs="Times New Roman"/>
          <w:color w:val="000000"/>
          <w:sz w:val="32"/>
          <w:szCs w:val="32"/>
          <w:lang w:val="zh-CN" w:eastAsia="zh-CN"/>
        </w:rPr>
        <w:t>低挥发性有机化合物含量涂料产品技术要求》（GB/T38597-2020）</w:t>
      </w:r>
      <w:r>
        <w:rPr>
          <w:rFonts w:hint="eastAsia" w:ascii="Times New Roman" w:hAnsi="Times New Roman" w:eastAsia="仿宋_GB2312" w:cs="Times New Roman"/>
          <w:color w:val="000000"/>
          <w:sz w:val="32"/>
          <w:szCs w:val="32"/>
          <w:lang w:val="en-US" w:eastAsia="zh-CN"/>
        </w:rPr>
        <w:t>中水性涂料中防水涂料要求</w:t>
      </w:r>
      <w:r>
        <w:rPr>
          <w:rFonts w:hint="default" w:ascii="Times New Roman" w:hAnsi="Times New Roman" w:eastAsia="仿宋_GB2312" w:cs="Times New Roman"/>
          <w:color w:val="000000"/>
          <w:sz w:val="32"/>
          <w:szCs w:val="32"/>
          <w:lang w:val="zh-CN" w:eastAsia="zh-CN"/>
        </w:rPr>
        <w:t>、《涂料中有害物质限量 第2部分:工业涂料》(GB30981.2-2025）</w:t>
      </w:r>
      <w:r>
        <w:rPr>
          <w:rFonts w:hint="eastAsia" w:ascii="Times New Roman" w:hAnsi="Times New Roman" w:eastAsia="仿宋_GB2312" w:cs="Times New Roman"/>
          <w:color w:val="000000"/>
          <w:sz w:val="32"/>
          <w:szCs w:val="32"/>
          <w:lang w:val="en-US" w:eastAsia="zh-CN"/>
        </w:rPr>
        <w:t>中水性涂料中包装涂料（其他）</w:t>
      </w:r>
      <w:r>
        <w:rPr>
          <w:rFonts w:hint="default" w:ascii="Times New Roman" w:hAnsi="Times New Roman" w:eastAsia="仿宋_GB2312" w:cs="Times New Roman"/>
          <w:color w:val="000000"/>
          <w:sz w:val="32"/>
          <w:szCs w:val="32"/>
          <w:lang w:val="zh-CN" w:eastAsia="zh-CN"/>
        </w:rPr>
        <w:t>限值要求</w:t>
      </w:r>
      <w:r>
        <w:rPr>
          <w:rFonts w:hint="eastAsia" w:ascii="Times New Roman" w:hAnsi="Times New Roman" w:eastAsia="仿宋_GB2312" w:cs="Times New Roman"/>
          <w:color w:val="000000"/>
          <w:sz w:val="32"/>
          <w:szCs w:val="32"/>
          <w:lang w:val="zh-CN" w:eastAsia="zh-CN"/>
        </w:rPr>
        <w:t>以及</w:t>
      </w:r>
      <w:r>
        <w:rPr>
          <w:rFonts w:hint="eastAsia" w:ascii="Times New Roman" w:hAnsi="Times New Roman" w:eastAsia="仿宋_GB2312" w:cs="Times New Roman"/>
          <w:color w:val="000000"/>
          <w:sz w:val="32"/>
          <w:szCs w:val="32"/>
          <w:lang w:val="en-US" w:eastAsia="zh-CN"/>
        </w:rPr>
        <w:t>《关于印发&lt;安徽省低挥发性有机物含量原辅材料替代工作方案&gt;的通知（皖环发〔2024〕1号）》中限值要求。</w:t>
      </w:r>
    </w:p>
    <w:bookmarkEnd w:id="0"/>
    <w:bookmarkEnd w:id="1"/>
    <w:p>
      <w:pPr>
        <w:widowControl/>
        <w:numPr>
          <w:ilvl w:val="0"/>
          <w:numId w:val="0"/>
        </w:numPr>
        <w:snapToGrid w:val="0"/>
        <w:spacing w:line="560" w:lineRule="exact"/>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做好固体废物污染防治工作。建立健全工业固体废物产生、收集、贮存、运输、利用、处置全过程的污染环境防治责任制度，建立工业固体废物管理台账，按规定建设工业固废贮存场所，采取防治工业固体废物污染环境的措施。</w:t>
      </w:r>
      <w:r>
        <w:rPr>
          <w:rFonts w:hint="default" w:ascii="Times New Roman" w:hAnsi="Times New Roman" w:eastAsia="仿宋_GB2312" w:cs="Times New Roman"/>
          <w:color w:val="000000"/>
          <w:sz w:val="32"/>
          <w:szCs w:val="32"/>
          <w:lang w:val="en-US" w:eastAsia="zh-CN"/>
        </w:rPr>
        <w:t>对</w:t>
      </w:r>
      <w:r>
        <w:rPr>
          <w:rFonts w:hint="eastAsia" w:ascii="Times New Roman" w:hAnsi="Times New Roman" w:eastAsia="仿宋_GB2312" w:cs="Times New Roman"/>
          <w:color w:val="000000"/>
          <w:sz w:val="32"/>
          <w:szCs w:val="32"/>
        </w:rPr>
        <w:t>油墨</w:t>
      </w:r>
      <w:r>
        <w:rPr>
          <w:rFonts w:hint="eastAsia" w:eastAsia="仿宋_GB2312" w:cs="Times New Roman"/>
          <w:color w:val="000000"/>
          <w:sz w:val="32"/>
          <w:szCs w:val="32"/>
          <w:lang w:eastAsia="zh-CN"/>
        </w:rPr>
        <w:t>及</w:t>
      </w:r>
      <w:r>
        <w:rPr>
          <w:rFonts w:hint="eastAsia" w:ascii="Times New Roman" w:hAnsi="Times New Roman" w:eastAsia="仿宋_GB2312" w:cs="Times New Roman"/>
          <w:color w:val="000000"/>
          <w:sz w:val="32"/>
          <w:szCs w:val="32"/>
        </w:rPr>
        <w:t>上光油废包装桶、废水处理污泥、废活性炭、废版辊</w:t>
      </w:r>
      <w:r>
        <w:rPr>
          <w:rFonts w:hint="default" w:ascii="Times New Roman" w:hAnsi="Times New Roman" w:eastAsia="仿宋_GB2312" w:cs="Times New Roman"/>
          <w:color w:val="000000"/>
          <w:sz w:val="32"/>
          <w:szCs w:val="32"/>
        </w:rPr>
        <w:t>等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应制定危险废物管理计划，并将管理计划及危险废物管理有关资料向环境保护行政主管部门申报、备案。</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、做好地下水、土壤污染防治工作。落实《报告</w:t>
      </w:r>
      <w:r>
        <w:rPr>
          <w:rFonts w:hint="eastAsia"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rPr>
        <w:t>》中分区防渗重点污染防治区防渗措施和其它区域的一般防渗措施，确保地下水环境质量达到《地下水质量标准》（GB/T 14848-2017）中的</w:t>
      </w:r>
      <w:r>
        <w:rPr>
          <w:rFonts w:hint="default" w:ascii="Times New Roman" w:hAnsi="Times New Roman" w:cs="Times New Roman"/>
          <w:color w:val="000000"/>
          <w:sz w:val="32"/>
          <w:szCs w:val="32"/>
        </w:rPr>
        <w:t>Ⅲ</w:t>
      </w:r>
      <w:r>
        <w:rPr>
          <w:rFonts w:hint="default" w:ascii="Times New Roman" w:hAnsi="Times New Roman" w:eastAsia="仿宋_GB2312" w:cs="Times New Roman"/>
          <w:color w:val="000000"/>
          <w:sz w:val="32"/>
          <w:szCs w:val="32"/>
        </w:rPr>
        <w:t>类标准，建设用地土壤满足《土壤环境质量 建设用地土壤污染风险管控标准（试行）》（GB 36600-2018）表1中第二类用地筛选值标准，防止地下水、土壤受到污染，确保项目区域的地下水、土壤环境质量不降低。</w:t>
      </w:r>
    </w:p>
    <w:p>
      <w:pPr>
        <w:spacing w:line="560" w:lineRule="exact"/>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、落实噪声污染防治措施。优先选用低噪声设备并合理布局，对各类噪声源采取必要的隔声、减</w:t>
      </w:r>
      <w:r>
        <w:rPr>
          <w:rFonts w:hint="eastAsia" w:ascii="Times New Roman" w:hAnsi="Times New Roman" w:eastAsia="仿宋_GB2312" w:cs="Times New Roman"/>
          <w:color w:val="000000"/>
          <w:sz w:val="32"/>
          <w:szCs w:val="32"/>
          <w:lang w:val="en-US" w:eastAsia="zh-CN"/>
        </w:rPr>
        <w:t>振</w:t>
      </w:r>
      <w:r>
        <w:rPr>
          <w:rFonts w:hint="default" w:ascii="Times New Roman" w:hAnsi="Times New Roman" w:eastAsia="仿宋_GB2312" w:cs="Times New Roman"/>
          <w:color w:val="000000"/>
          <w:sz w:val="32"/>
          <w:szCs w:val="32"/>
        </w:rPr>
        <w:t>、消声、降噪措施，确保项目生产过程中厂界昼夜噪声符合《工业企业厂界环境噪声排放标准》（GB12348-2008）中</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类标准的限值要求。</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、做好项目的环境风险防范工作。建立环境风险应急管理体系，根据项目的建设内容</w:t>
      </w:r>
      <w:r>
        <w:rPr>
          <w:rFonts w:hint="eastAsia" w:ascii="Times New Roman" w:hAnsi="Times New Roman" w:eastAsia="仿宋_GB2312" w:cs="Times New Roman"/>
          <w:color w:val="000000"/>
          <w:sz w:val="32"/>
          <w:szCs w:val="32"/>
          <w:lang w:val="en-US" w:eastAsia="zh-CN"/>
        </w:rPr>
        <w:t>编制</w:t>
      </w:r>
      <w:r>
        <w:rPr>
          <w:rFonts w:hint="default" w:ascii="Times New Roman" w:hAnsi="Times New Roman" w:eastAsia="仿宋_GB2312" w:cs="Times New Roman"/>
          <w:color w:val="000000"/>
          <w:sz w:val="32"/>
          <w:szCs w:val="32"/>
        </w:rPr>
        <w:t>突发环境事件应急预案，保证防范环境风险的配套设施的落实；在生产中要严格执行防范环境风险事故的制度和措施，做好运输、贮存和生产等环节的环境风险管理；出现事故隐患等环境危害事件，应立即按照突发环境事件应急预案处置，包括停止生产，并及时向生态环境部门及相关部门报告。</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、建立健全环境管理规章制度，设立环境管理机构，确定专人负责环保工作。制定环境监测计划，定期开展环境监测。加强对污染治理设施的管理和维护，确保污染治理设施正常运行，污染物稳定达标排放。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、施工期应按《报告</w:t>
      </w:r>
      <w:r>
        <w:rPr>
          <w:rFonts w:hint="eastAsia"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rPr>
        <w:t>》要求及相关规定落实废气、废水、噪声等污染防治措施，做好固体废物管理，确保施工期污染物达标排放。</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对污水处理、</w:t>
      </w:r>
      <w:r>
        <w:rPr>
          <w:rFonts w:hint="eastAsia" w:ascii="Times New Roman" w:hAnsi="Times New Roman" w:eastAsia="仿宋_GB2312" w:cs="Times New Roman"/>
          <w:color w:val="000000"/>
          <w:sz w:val="32"/>
          <w:szCs w:val="32"/>
          <w:lang w:val="en-US" w:eastAsia="zh-CN"/>
        </w:rPr>
        <w:t>有机废气治理设施</w:t>
      </w:r>
      <w:r>
        <w:rPr>
          <w:rFonts w:hint="default" w:ascii="Times New Roman" w:hAnsi="Times New Roman" w:eastAsia="仿宋_GB2312" w:cs="Times New Roman"/>
          <w:color w:val="000000"/>
          <w:sz w:val="32"/>
          <w:szCs w:val="32"/>
        </w:rPr>
        <w:t>等重点环保设备设施，开展环保设备设施安全风险辨识评估和隐患排查治理，落实安全生产各项责任措施。</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rPr>
        <w:t>、建设项目必须严格执行环境保护“三同时”制度。项目规划设计应同步落实防治环境污染和生态破坏措施设计，保证环境保护设施投入。环保设施建设必须纳入施工合同，保证环保设施建设进度和资金。</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五</w:t>
      </w:r>
      <w:r>
        <w:rPr>
          <w:rFonts w:hint="default" w:ascii="Times New Roman" w:hAnsi="Times New Roman" w:eastAsia="仿宋_GB2312" w:cs="Times New Roman"/>
          <w:color w:val="000000"/>
          <w:sz w:val="32"/>
          <w:szCs w:val="32"/>
        </w:rPr>
        <w:t>、《报告</w:t>
      </w:r>
      <w:r>
        <w:rPr>
          <w:rFonts w:hint="eastAsia"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rPr>
        <w:t>》经批准后，如项目的性质、规模、地点、采用的生产工艺或防治污染的措施发生重大变动的，应依法重新报批项目的环境影响评价文件。超过五年方决定该项目开工建设的，应依法报我局重新审核。</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、国家对本项目应执行的环境标准作出修订或新颁布的要求，执行新标准和新要求。</w:t>
      </w:r>
    </w:p>
    <w:p>
      <w:pPr>
        <w:widowControl/>
        <w:snapToGrid w:val="0"/>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本</w:t>
      </w:r>
      <w:r>
        <w:rPr>
          <w:rFonts w:hint="default" w:ascii="Times New Roman" w:hAnsi="Times New Roman" w:eastAsia="仿宋_GB2312" w:cs="Times New Roman"/>
          <w:color w:val="000000"/>
          <w:sz w:val="32"/>
          <w:szCs w:val="32"/>
          <w:lang w:val="en-US" w:eastAsia="zh-CN"/>
        </w:rPr>
        <w:t>项目</w:t>
      </w:r>
      <w:r>
        <w:rPr>
          <w:rFonts w:hint="eastAsia" w:ascii="Times New Roman" w:hAnsi="Times New Roman" w:eastAsia="仿宋_GB2312" w:cs="Times New Roman"/>
          <w:color w:val="000000"/>
          <w:sz w:val="32"/>
          <w:szCs w:val="32"/>
          <w:lang w:val="en-US" w:eastAsia="zh-CN"/>
        </w:rPr>
        <w:t>主要污染物总量控制指标：化学需氧量</w:t>
      </w:r>
      <w:r>
        <w:rPr>
          <w:rFonts w:hint="default"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val="en-US" w:eastAsia="zh-CN"/>
        </w:rPr>
        <w:t>0168吨/年、氨氮</w:t>
      </w:r>
      <w:r>
        <w:rPr>
          <w:rFonts w:hint="default" w:ascii="Times New Roman" w:hAnsi="Times New Roman" w:eastAsia="仿宋_GB2312" w:cs="Times New Roman"/>
          <w:color w:val="000000"/>
          <w:sz w:val="32"/>
          <w:szCs w:val="32"/>
          <w:lang w:val="en-US" w:eastAsia="zh-CN"/>
        </w:rPr>
        <w:t>0.0</w:t>
      </w:r>
      <w:r>
        <w:rPr>
          <w:rFonts w:hint="eastAsia" w:ascii="Times New Roman" w:hAnsi="Times New Roman" w:eastAsia="仿宋_GB2312" w:cs="Times New Roman"/>
          <w:color w:val="000000"/>
          <w:sz w:val="32"/>
          <w:szCs w:val="32"/>
          <w:lang w:val="en-US" w:eastAsia="zh-CN"/>
        </w:rPr>
        <w:t>017吨/年、挥发性有机物</w:t>
      </w:r>
      <w:r>
        <w:rPr>
          <w:rFonts w:hint="default" w:ascii="Times New Roman" w:hAnsi="Times New Roman"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val="en-US" w:eastAsia="zh-CN"/>
        </w:rPr>
        <w:t>0431</w:t>
      </w:r>
      <w:r>
        <w:rPr>
          <w:rFonts w:hint="default" w:ascii="Times New Roman" w:hAnsi="Times New Roman" w:eastAsia="仿宋_GB2312" w:cs="Times New Roman"/>
          <w:color w:val="000000"/>
          <w:sz w:val="32"/>
          <w:szCs w:val="32"/>
          <w:lang w:val="en-US" w:eastAsia="zh-CN"/>
        </w:rPr>
        <w:t>t/a。</w:t>
      </w:r>
    </w:p>
    <w:p>
      <w:pPr>
        <w:widowControl/>
        <w:snapToGrid w:val="0"/>
        <w:spacing w:line="560" w:lineRule="exact"/>
        <w:ind w:firstLine="640" w:firstLineChars="200"/>
        <w:rPr>
          <w:rFonts w:hint="default" w:ascii="Times New Roman" w:hAnsi="Times New Roman" w:eastAsia="仿宋_GB2312" w:cs="Times New Roman"/>
          <w:color w:val="000000"/>
          <w:sz w:val="32"/>
          <w:szCs w:val="32"/>
          <w:highlight w:val="yellow"/>
        </w:rPr>
      </w:pPr>
      <w:r>
        <w:rPr>
          <w:rFonts w:hint="eastAsia" w:eastAsia="仿宋_GB2312" w:cs="Times New Roman"/>
          <w:color w:val="000000"/>
          <w:sz w:val="32"/>
          <w:szCs w:val="32"/>
          <w:lang w:val="en-US" w:eastAsia="zh-CN"/>
        </w:rPr>
        <w:t>八</w:t>
      </w:r>
      <w:r>
        <w:rPr>
          <w:rFonts w:hint="default" w:ascii="Times New Roman" w:hAnsi="Times New Roman" w:eastAsia="仿宋_GB2312" w:cs="Times New Roman"/>
          <w:color w:val="000000"/>
          <w:sz w:val="32"/>
          <w:szCs w:val="32"/>
        </w:rPr>
        <w:t>、该项目投入生产或使用并产生实际排污行为之前，按《固定污染源排污许可分类管理名录》申领排污许可证。</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九</w:t>
      </w:r>
      <w:r>
        <w:rPr>
          <w:rFonts w:hint="default" w:ascii="Times New Roman" w:hAnsi="Times New Roman" w:eastAsia="仿宋_GB2312" w:cs="Times New Roman"/>
          <w:color w:val="000000"/>
          <w:sz w:val="32"/>
          <w:szCs w:val="32"/>
        </w:rPr>
        <w:t>、该项目建成后，应按照法定程序和要求及时开展建设项目竣工环境保护验收和验收信息报送工作，并依法依规公开相关信息。</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十、项目实施过程中应依法严格执行相关主管部门规定，取得法定许可后方可开工。</w:t>
      </w:r>
    </w:p>
    <w:p>
      <w:pPr>
        <w:widowControl/>
        <w:snapToGrid w:val="0"/>
        <w:spacing w:line="560" w:lineRule="exact"/>
        <w:ind w:firstLine="640" w:firstLineChars="200"/>
        <w:rPr>
          <w:rFonts w:hint="default" w:ascii="Times New Roman" w:hAnsi="Times New Roman" w:eastAsia="仿宋_GB2312" w:cs="Times New Roman"/>
          <w:color w:val="000000"/>
          <w:sz w:val="32"/>
          <w:szCs w:val="32"/>
        </w:rPr>
      </w:pPr>
      <w:bookmarkStart w:id="3" w:name="OLE_LINK16"/>
      <w:r>
        <w:rPr>
          <w:rFonts w:hint="default" w:ascii="Times New Roman" w:hAnsi="Times New Roman" w:eastAsia="仿宋_GB2312" w:cs="Times New Roman"/>
          <w:color w:val="000000"/>
          <w:sz w:val="32"/>
          <w:szCs w:val="32"/>
        </w:rPr>
        <w:t>十</w:t>
      </w:r>
      <w:r>
        <w:rPr>
          <w:rFonts w:hint="eastAsia"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rPr>
        <w:t>、</w:t>
      </w:r>
      <w:bookmarkStart w:id="4" w:name="OLE_LINK14"/>
      <w:r>
        <w:rPr>
          <w:rFonts w:hint="default" w:ascii="Times New Roman" w:hAnsi="Times New Roman" w:eastAsia="仿宋_GB2312" w:cs="Times New Roman"/>
          <w:color w:val="000000"/>
          <w:sz w:val="32"/>
          <w:szCs w:val="32"/>
        </w:rPr>
        <w:t>请</w:t>
      </w:r>
      <w:r>
        <w:rPr>
          <w:rFonts w:hint="default" w:ascii="Times New Roman" w:hAnsi="Times New Roman" w:eastAsia="仿宋_GB2312" w:cs="Times New Roman"/>
          <w:color w:val="000000"/>
          <w:sz w:val="32"/>
          <w:szCs w:val="32"/>
          <w:lang w:eastAsia="zh-CN"/>
        </w:rPr>
        <w:t>安徽</w:t>
      </w:r>
      <w:r>
        <w:rPr>
          <w:rFonts w:hint="default" w:ascii="Times New Roman" w:hAnsi="Times New Roman" w:eastAsia="仿宋_GB2312" w:cs="Times New Roman"/>
          <w:color w:val="000000"/>
          <w:sz w:val="32"/>
          <w:szCs w:val="32"/>
          <w:lang w:val="en-US" w:eastAsia="zh-CN"/>
        </w:rPr>
        <w:t>黄山高新技术产业开发区</w:t>
      </w:r>
      <w:r>
        <w:rPr>
          <w:rFonts w:hint="default" w:ascii="Times New Roman" w:hAnsi="Times New Roman" w:eastAsia="仿宋_GB2312" w:cs="Times New Roman"/>
          <w:color w:val="000000"/>
          <w:sz w:val="32"/>
          <w:szCs w:val="32"/>
          <w:lang w:eastAsia="zh-CN"/>
        </w:rPr>
        <w:t>管委会</w:t>
      </w:r>
      <w:r>
        <w:rPr>
          <w:rFonts w:hint="default" w:ascii="Times New Roman" w:hAnsi="Times New Roman" w:eastAsia="仿宋_GB2312" w:cs="Times New Roman"/>
          <w:color w:val="000000"/>
          <w:sz w:val="32"/>
          <w:szCs w:val="32"/>
        </w:rPr>
        <w:t>加强项目属地生态环境管理，市生态环境保护综合行政执法支队负责该项目环保“三同时”日常监督管理工作。</w:t>
      </w:r>
    </w:p>
    <w:bookmarkEnd w:id="3"/>
    <w:bookmarkEnd w:id="4"/>
    <w:p>
      <w:pPr>
        <w:spacing w:line="560" w:lineRule="exact"/>
        <w:jc w:val="center"/>
        <w:rPr>
          <w:rFonts w:hint="default" w:ascii="Times New Roman" w:hAnsi="Times New Roman" w:eastAsia="楷体" w:cs="Times New Roman"/>
          <w:color w:val="000000"/>
          <w:sz w:val="24"/>
        </w:rPr>
      </w:pPr>
    </w:p>
    <w:p>
      <w:pPr>
        <w:widowControl/>
        <w:snapToGrid w:val="0"/>
        <w:spacing w:line="560" w:lineRule="exact"/>
        <w:ind w:firstLine="5120" w:firstLineChars="16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 xml:space="preserve">日  </w:t>
      </w:r>
    </w:p>
    <w:p>
      <w:pPr>
        <w:spacing w:line="560" w:lineRule="exact"/>
        <w:ind w:left="320" w:hanging="320" w:hangingChars="100"/>
        <w:jc w:val="center"/>
        <w:rPr>
          <w:rFonts w:hint="default" w:ascii="Times New Roman" w:hAnsi="Times New Roman" w:eastAsia="仿宋_GB2312" w:cs="Times New Roman"/>
          <w:color w:val="000000"/>
          <w:sz w:val="32"/>
          <w:szCs w:val="32"/>
          <w:highlight w:val="yellow"/>
        </w:rPr>
      </w:pPr>
    </w:p>
    <w:p>
      <w:pPr>
        <w:pStyle w:val="5"/>
        <w:ind w:firstLine="480"/>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p>
      <w:pPr>
        <w:pStyle w:val="6"/>
        <w:spacing w:before="312"/>
        <w:rPr>
          <w:rFonts w:hint="default" w:ascii="Times New Roman" w:hAnsi="Times New Roman" w:cs="Times New Roman"/>
          <w:color w:val="000000"/>
        </w:rPr>
      </w:pPr>
    </w:p>
    <w:tbl>
      <w:tblPr>
        <w:tblStyle w:val="17"/>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9480" w:type="dxa"/>
            <w:tcBorders>
              <w:top w:val="single" w:color="auto" w:sz="4" w:space="0"/>
              <w:left w:val="nil"/>
              <w:bottom w:val="single" w:color="auto" w:sz="4" w:space="0"/>
              <w:right w:val="nil"/>
            </w:tcBorders>
            <w:noWrap w:val="0"/>
            <w:vAlign w:val="center"/>
          </w:tcPr>
          <w:p>
            <w:pPr>
              <w:adjustRightInd w:val="0"/>
              <w:snapToGrid w:val="0"/>
              <w:spacing w:line="560" w:lineRule="exact"/>
              <w:ind w:left="1050" w:leftChars="100" w:hanging="840" w:hangingChars="3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z w:val="28"/>
                <w:szCs w:val="28"/>
                <w:lang w:val="zh-CN"/>
              </w:rPr>
              <w:t>：</w:t>
            </w:r>
            <w:r>
              <w:rPr>
                <w:rFonts w:hint="default" w:ascii="Times New Roman" w:hAnsi="Times New Roman" w:eastAsia="仿宋_GB2312" w:cs="Times New Roman"/>
                <w:color w:val="000000"/>
                <w:sz w:val="28"/>
                <w:szCs w:val="28"/>
              </w:rPr>
              <w:t>安徽黄山高新技术产业开发区管理委员会</w:t>
            </w:r>
            <w:r>
              <w:rPr>
                <w:rFonts w:hint="default" w:ascii="Times New Roman" w:hAnsi="Times New Roman" w:eastAsia="仿宋_GB2312" w:cs="Times New Roman"/>
                <w:color w:val="000000"/>
                <w:sz w:val="28"/>
                <w:szCs w:val="28"/>
                <w:lang w:val="zh-CN"/>
              </w:rPr>
              <w:t>，市生态环境保护综合行政执法支队，</w:t>
            </w:r>
            <w:r>
              <w:rPr>
                <w:rFonts w:hint="eastAsia" w:ascii="Times New Roman" w:hAnsi="Times New Roman" w:eastAsia="仿宋_GB2312" w:cs="Times New Roman"/>
                <w:color w:val="000000"/>
                <w:sz w:val="28"/>
                <w:szCs w:val="28"/>
                <w:lang w:val="en-US" w:eastAsia="zh-CN"/>
              </w:rPr>
              <w:t>安徽众远环境科技有限公司</w:t>
            </w:r>
            <w:r>
              <w:rPr>
                <w:rFonts w:hint="default" w:ascii="Times New Roman" w:hAnsi="Times New Roman" w:eastAsia="仿宋_GB2312" w:cs="Times New Roman"/>
                <w:color w:val="00000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480" w:type="dxa"/>
            <w:tcBorders>
              <w:top w:val="single" w:color="auto" w:sz="4" w:space="0"/>
              <w:left w:val="nil"/>
              <w:bottom w:val="single" w:color="auto" w:sz="4" w:space="0"/>
              <w:right w:val="nil"/>
            </w:tcBorders>
            <w:noWrap w:val="0"/>
            <w:vAlign w:val="center"/>
          </w:tcPr>
          <w:p>
            <w:pPr>
              <w:adjustRightInd w:val="0"/>
              <w:snapToGrid w:val="0"/>
              <w:spacing w:line="560" w:lineRule="exact"/>
              <w:ind w:firstLine="280" w:firstLineChars="1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黄山市生态环境局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202</w:t>
            </w:r>
            <w:r>
              <w:rPr>
                <w:rFonts w:hint="eastAsia"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lang w:val="en-US" w:eastAsia="zh-CN"/>
              </w:rPr>
              <w:t>年</w:t>
            </w:r>
            <w:r>
              <w:rPr>
                <w:rFonts w:hint="eastAsia" w:ascii="Times New Roman" w:hAnsi="Times New Roman" w:eastAsia="仿宋_GB2312" w:cs="Times New Roman"/>
                <w:color w:val="000000"/>
                <w:sz w:val="28"/>
                <w:szCs w:val="28"/>
                <w:lang w:val="en-US" w:eastAsia="zh-CN"/>
              </w:rPr>
              <w:t>11</w:t>
            </w:r>
            <w:r>
              <w:rPr>
                <w:rFonts w:hint="default" w:ascii="Times New Roman" w:hAnsi="Times New Roman" w:eastAsia="仿宋_GB2312" w:cs="Times New Roman"/>
                <w:color w:val="000000"/>
                <w:sz w:val="28"/>
                <w:szCs w:val="28"/>
                <w:lang w:val="en-US" w:eastAsia="zh-CN"/>
              </w:rPr>
              <w:t>月</w:t>
            </w:r>
            <w:r>
              <w:rPr>
                <w:rFonts w:hint="eastAsia" w:ascii="Times New Roman" w:hAnsi="Times New Roman" w:eastAsia="仿宋_GB2312" w:cs="Times New Roman"/>
                <w:color w:val="000000"/>
                <w:sz w:val="28"/>
                <w:szCs w:val="28"/>
                <w:lang w:val="en-US" w:eastAsia="zh-CN"/>
              </w:rPr>
              <w:t>7</w:t>
            </w:r>
            <w:r>
              <w:rPr>
                <w:rFonts w:hint="default" w:ascii="Times New Roman" w:hAnsi="Times New Roman" w:eastAsia="仿宋_GB2312" w:cs="Times New Roman"/>
                <w:color w:val="000000"/>
                <w:sz w:val="28"/>
                <w:szCs w:val="28"/>
                <w:lang w:val="en-US" w:eastAsia="zh-CN"/>
              </w:rPr>
              <w:t>日印</w:t>
            </w:r>
            <w:r>
              <w:rPr>
                <w:rFonts w:hint="default" w:ascii="Times New Roman" w:hAnsi="Times New Roman" w:eastAsia="仿宋_GB2312" w:cs="Times New Roman"/>
                <w:color w:val="000000"/>
                <w:sz w:val="28"/>
                <w:szCs w:val="28"/>
              </w:rPr>
              <w:t>发</w:t>
            </w:r>
          </w:p>
        </w:tc>
      </w:tr>
    </w:tbl>
    <w:p>
      <w:pPr>
        <w:spacing w:line="560" w:lineRule="exact"/>
        <w:jc w:val="center"/>
        <w:rPr>
          <w:rFonts w:hint="default" w:ascii="Times New Roman" w:hAnsi="Times New Roman" w:cs="Times New Roman"/>
        </w:rPr>
      </w:pPr>
    </w:p>
    <w:sectPr>
      <w:footerReference r:id="rId3" w:type="default"/>
      <w:footerReference r:id="rId4" w:type="even"/>
      <w:pgSz w:w="11906" w:h="16838"/>
      <w:pgMar w:top="1984" w:right="1474" w:bottom="1417" w:left="1587" w:header="851" w:footer="79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FAA55"/>
    <w:multiLevelType w:val="singleLevel"/>
    <w:tmpl w:val="7A2FAA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3ABC"/>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B03D5F"/>
    <w:rsid w:val="10E95EDA"/>
    <w:rsid w:val="110D6725"/>
    <w:rsid w:val="11C35B74"/>
    <w:rsid w:val="12346DCE"/>
    <w:rsid w:val="137D647C"/>
    <w:rsid w:val="148D4C99"/>
    <w:rsid w:val="1496733C"/>
    <w:rsid w:val="151E1F84"/>
    <w:rsid w:val="15660E3B"/>
    <w:rsid w:val="15D40B0A"/>
    <w:rsid w:val="17A56B63"/>
    <w:rsid w:val="181A30AD"/>
    <w:rsid w:val="18226406"/>
    <w:rsid w:val="18F341E5"/>
    <w:rsid w:val="19A6198A"/>
    <w:rsid w:val="1AF04599"/>
    <w:rsid w:val="1BB2184F"/>
    <w:rsid w:val="1C0F7F31"/>
    <w:rsid w:val="1D514E4D"/>
    <w:rsid w:val="1D6E4EF6"/>
    <w:rsid w:val="1EAF02C7"/>
    <w:rsid w:val="1F1D441C"/>
    <w:rsid w:val="1FA035DF"/>
    <w:rsid w:val="204F3B10"/>
    <w:rsid w:val="20636A07"/>
    <w:rsid w:val="21D267A7"/>
    <w:rsid w:val="22E05C1E"/>
    <w:rsid w:val="22ED7531"/>
    <w:rsid w:val="230C5CE8"/>
    <w:rsid w:val="24190515"/>
    <w:rsid w:val="24426B02"/>
    <w:rsid w:val="24491E4E"/>
    <w:rsid w:val="24656A00"/>
    <w:rsid w:val="261F21D6"/>
    <w:rsid w:val="266F09BF"/>
    <w:rsid w:val="276E7A08"/>
    <w:rsid w:val="28193786"/>
    <w:rsid w:val="28837790"/>
    <w:rsid w:val="28DA522C"/>
    <w:rsid w:val="28FB4835"/>
    <w:rsid w:val="2918284B"/>
    <w:rsid w:val="29356D18"/>
    <w:rsid w:val="2A313896"/>
    <w:rsid w:val="2B206969"/>
    <w:rsid w:val="2BEE242F"/>
    <w:rsid w:val="2D3505F7"/>
    <w:rsid w:val="2D984D48"/>
    <w:rsid w:val="2E2E1199"/>
    <w:rsid w:val="2E323603"/>
    <w:rsid w:val="2E3E080C"/>
    <w:rsid w:val="2E6D7F83"/>
    <w:rsid w:val="2F032695"/>
    <w:rsid w:val="2FA31782"/>
    <w:rsid w:val="30274161"/>
    <w:rsid w:val="30405223"/>
    <w:rsid w:val="304363F6"/>
    <w:rsid w:val="310E1FD8"/>
    <w:rsid w:val="31181CFC"/>
    <w:rsid w:val="3140197F"/>
    <w:rsid w:val="318C57CC"/>
    <w:rsid w:val="31DE30C6"/>
    <w:rsid w:val="31F011F0"/>
    <w:rsid w:val="32CE6B16"/>
    <w:rsid w:val="32F12373"/>
    <w:rsid w:val="33E118EB"/>
    <w:rsid w:val="347A2B44"/>
    <w:rsid w:val="34DA491F"/>
    <w:rsid w:val="35461462"/>
    <w:rsid w:val="358D2CB9"/>
    <w:rsid w:val="36403B1B"/>
    <w:rsid w:val="36965340"/>
    <w:rsid w:val="36DD2A9E"/>
    <w:rsid w:val="37B418AC"/>
    <w:rsid w:val="381D6DB0"/>
    <w:rsid w:val="38FE4203"/>
    <w:rsid w:val="39385A7A"/>
    <w:rsid w:val="39513FFD"/>
    <w:rsid w:val="3A1351FB"/>
    <w:rsid w:val="3A3A2197"/>
    <w:rsid w:val="3A3C4D2A"/>
    <w:rsid w:val="3BF861C1"/>
    <w:rsid w:val="3C065F73"/>
    <w:rsid w:val="3C834E15"/>
    <w:rsid w:val="3D525856"/>
    <w:rsid w:val="3DAF5796"/>
    <w:rsid w:val="3DBC2243"/>
    <w:rsid w:val="3DD75419"/>
    <w:rsid w:val="3DDF71DA"/>
    <w:rsid w:val="3DFD798D"/>
    <w:rsid w:val="3FC72166"/>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E9A34BA"/>
    <w:rsid w:val="4FB07550"/>
    <w:rsid w:val="502D711A"/>
    <w:rsid w:val="50D44D05"/>
    <w:rsid w:val="512027DB"/>
    <w:rsid w:val="51872972"/>
    <w:rsid w:val="524135D4"/>
    <w:rsid w:val="527B538F"/>
    <w:rsid w:val="52EF30F1"/>
    <w:rsid w:val="5540344C"/>
    <w:rsid w:val="5641680C"/>
    <w:rsid w:val="57D04F5B"/>
    <w:rsid w:val="58D72319"/>
    <w:rsid w:val="590574F5"/>
    <w:rsid w:val="598A738C"/>
    <w:rsid w:val="5B48305A"/>
    <w:rsid w:val="5C875E04"/>
    <w:rsid w:val="5CD904EA"/>
    <w:rsid w:val="5D810F9D"/>
    <w:rsid w:val="5E270513"/>
    <w:rsid w:val="5E2F11F8"/>
    <w:rsid w:val="5E710B1A"/>
    <w:rsid w:val="5EC45EC6"/>
    <w:rsid w:val="5F322057"/>
    <w:rsid w:val="5F8E1DCD"/>
    <w:rsid w:val="62020179"/>
    <w:rsid w:val="64874BF3"/>
    <w:rsid w:val="65927696"/>
    <w:rsid w:val="65953340"/>
    <w:rsid w:val="65B22339"/>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1A4C33"/>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B50303"/>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link w:val="34"/>
    <w:qFormat/>
    <w:uiPriority w:val="0"/>
    <w:pPr>
      <w:spacing w:line="590" w:lineRule="exact"/>
      <w:ind w:firstLine="880" w:firstLineChars="200"/>
    </w:pPr>
    <w:rPr>
      <w:rFonts w:eastAsia="方正仿宋_GBK"/>
    </w:rPr>
  </w:style>
  <w:style w:type="paragraph" w:styleId="5">
    <w:name w:val="Normal Indent"/>
    <w:basedOn w:val="1"/>
    <w:next w:val="6"/>
    <w:link w:val="31"/>
    <w:qFormat/>
    <w:uiPriority w:val="0"/>
    <w:pPr>
      <w:ind w:firstLine="420" w:firstLineChars="200"/>
    </w:pPr>
    <w:rPr>
      <w:kern w:val="0"/>
      <w:sz w:val="24"/>
      <w:szCs w:val="20"/>
    </w:rPr>
  </w:style>
  <w:style w:type="paragraph" w:customStyle="1" w:styleId="6">
    <w:name w:val="附图图片"/>
    <w:basedOn w:val="1"/>
    <w:qFormat/>
    <w:uiPriority w:val="0"/>
    <w:pPr>
      <w:spacing w:before="100" w:beforeLines="100"/>
      <w:jc w:val="center"/>
    </w:pPr>
    <w:rPr>
      <w:rFonts w:eastAsia="楷体"/>
      <w:sz w:val="24"/>
    </w:rPr>
  </w:style>
  <w:style w:type="paragraph" w:styleId="7">
    <w:name w:val="annotation text"/>
    <w:basedOn w:val="1"/>
    <w:link w:val="32"/>
    <w:semiHidden/>
    <w:qFormat/>
    <w:uiPriority w:val="0"/>
    <w:pPr>
      <w:jc w:val="left"/>
    </w:pPr>
    <w:rPr>
      <w:szCs w:val="21"/>
    </w:rPr>
  </w:style>
  <w:style w:type="paragraph" w:styleId="8">
    <w:name w:val="Body Text"/>
    <w:basedOn w:val="1"/>
    <w:next w:val="1"/>
    <w:qFormat/>
    <w:uiPriority w:val="0"/>
    <w:pPr>
      <w:spacing w:after="120"/>
    </w:pPr>
  </w:style>
  <w:style w:type="paragraph" w:styleId="9">
    <w:name w:val="Body Text Indent"/>
    <w:basedOn w:val="1"/>
    <w:link w:val="77"/>
    <w:qFormat/>
    <w:uiPriority w:val="0"/>
    <w:pPr>
      <w:spacing w:after="120"/>
      <w:ind w:left="420" w:leftChars="200"/>
    </w:pPr>
  </w:style>
  <w:style w:type="paragraph" w:styleId="10">
    <w:name w:val="Date"/>
    <w:basedOn w:val="1"/>
    <w:next w:val="1"/>
    <w:link w:val="33"/>
    <w:qFormat/>
    <w:uiPriority w:val="0"/>
    <w:pPr>
      <w:ind w:left="100" w:leftChars="2500"/>
    </w:pPr>
    <w:rPr>
      <w:sz w:val="24"/>
    </w:rPr>
  </w:style>
  <w:style w:type="paragraph" w:styleId="11">
    <w:name w:val="Balloon Text"/>
    <w:basedOn w:val="1"/>
    <w:link w:val="76"/>
    <w:qFormat/>
    <w:uiPriority w:val="0"/>
    <w:rPr>
      <w:sz w:val="18"/>
      <w:szCs w:val="18"/>
    </w:rPr>
  </w:style>
  <w:style w:type="paragraph" w:styleId="12">
    <w:name w:val="footer"/>
    <w:basedOn w:val="1"/>
    <w:link w:val="35"/>
    <w:qFormat/>
    <w:uiPriority w:val="0"/>
    <w:pPr>
      <w:tabs>
        <w:tab w:val="center" w:pos="4153"/>
        <w:tab w:val="right" w:pos="8306"/>
      </w:tabs>
      <w:snapToGrid w:val="0"/>
      <w:jc w:val="left"/>
    </w:pPr>
    <w:rPr>
      <w:sz w:val="18"/>
      <w:szCs w:val="20"/>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9"/>
    <w:link w:val="78"/>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4"/>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paragraph" w:customStyle="1" w:styleId="28">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9">
    <w:name w:val="标题 1 Char"/>
    <w:link w:val="3"/>
    <w:qFormat/>
    <w:uiPriority w:val="0"/>
    <w:rPr>
      <w:b/>
      <w:bCs/>
      <w:kern w:val="44"/>
      <w:sz w:val="44"/>
      <w:szCs w:val="44"/>
    </w:rPr>
  </w:style>
  <w:style w:type="character" w:customStyle="1" w:styleId="30">
    <w:name w:val="标题 2 Char"/>
    <w:link w:val="4"/>
    <w:qFormat/>
    <w:locked/>
    <w:uiPriority w:val="0"/>
    <w:rPr>
      <w:rFonts w:ascii="宋体" w:hAnsi="宋体" w:eastAsia="宋体" w:cs="宋体"/>
      <w:b/>
      <w:bCs/>
      <w:sz w:val="36"/>
      <w:szCs w:val="36"/>
      <w:lang w:val="en-US" w:eastAsia="zh-CN" w:bidi="ar-SA"/>
    </w:rPr>
  </w:style>
  <w:style w:type="character" w:customStyle="1" w:styleId="31">
    <w:name w:val="正文缩进 Char"/>
    <w:link w:val="5"/>
    <w:qFormat/>
    <w:locked/>
    <w:uiPriority w:val="0"/>
    <w:rPr>
      <w:rFonts w:eastAsia="宋体"/>
      <w:sz w:val="24"/>
      <w:lang w:bidi="ar-SA"/>
    </w:rPr>
  </w:style>
  <w:style w:type="character" w:customStyle="1" w:styleId="32">
    <w:name w:val="批注文字 Char"/>
    <w:basedOn w:val="19"/>
    <w:link w:val="7"/>
    <w:qFormat/>
    <w:locked/>
    <w:uiPriority w:val="0"/>
    <w:rPr>
      <w:rFonts w:eastAsia="宋体"/>
      <w:kern w:val="2"/>
      <w:sz w:val="21"/>
      <w:szCs w:val="21"/>
      <w:lang w:val="en-US" w:eastAsia="zh-CN" w:bidi="ar-SA"/>
    </w:rPr>
  </w:style>
  <w:style w:type="character" w:customStyle="1" w:styleId="33">
    <w:name w:val="日期 Char"/>
    <w:link w:val="10"/>
    <w:semiHidden/>
    <w:qFormat/>
    <w:locked/>
    <w:uiPriority w:val="0"/>
    <w:rPr>
      <w:rFonts w:cs="Times New Roman"/>
      <w:kern w:val="2"/>
      <w:sz w:val="24"/>
      <w:szCs w:val="24"/>
    </w:rPr>
  </w:style>
  <w:style w:type="character" w:customStyle="1" w:styleId="34">
    <w:name w:val="正文文本缩进 2 Char"/>
    <w:basedOn w:val="19"/>
    <w:link w:val="2"/>
    <w:qFormat/>
    <w:locked/>
    <w:uiPriority w:val="0"/>
    <w:rPr>
      <w:rFonts w:eastAsia="方正仿宋_GBK"/>
      <w:kern w:val="2"/>
      <w:sz w:val="21"/>
      <w:szCs w:val="24"/>
      <w:lang w:val="en-US" w:eastAsia="zh-CN" w:bidi="ar-SA"/>
    </w:rPr>
  </w:style>
  <w:style w:type="character" w:customStyle="1" w:styleId="35">
    <w:name w:val="页脚 Char1"/>
    <w:link w:val="12"/>
    <w:qFormat/>
    <w:locked/>
    <w:uiPriority w:val="0"/>
    <w:rPr>
      <w:kern w:val="2"/>
      <w:sz w:val="18"/>
    </w:rPr>
  </w:style>
  <w:style w:type="character" w:customStyle="1" w:styleId="36">
    <w:name w:val="页眉 Char"/>
    <w:link w:val="13"/>
    <w:qFormat/>
    <w:locked/>
    <w:uiPriority w:val="0"/>
    <w:rPr>
      <w:rFonts w:cs="Times New Roman"/>
      <w:kern w:val="2"/>
      <w:sz w:val="18"/>
    </w:rPr>
  </w:style>
  <w:style w:type="character" w:customStyle="1" w:styleId="37">
    <w:name w:val="font12"/>
    <w:qFormat/>
    <w:uiPriority w:val="0"/>
    <w:rPr>
      <w:rFonts w:ascii="宋体" w:hAnsi="宋体" w:eastAsia="宋体" w:cs="宋体"/>
      <w:color w:val="000000"/>
      <w:sz w:val="22"/>
      <w:szCs w:val="22"/>
      <w:u w:val="none"/>
    </w:rPr>
  </w:style>
  <w:style w:type="character" w:customStyle="1" w:styleId="38">
    <w:name w:val="font101"/>
    <w:qFormat/>
    <w:uiPriority w:val="0"/>
    <w:rPr>
      <w:rFonts w:ascii="Times New Roman" w:hAnsi="Times New Roman" w:cs="Times New Roman"/>
      <w:color w:val="000000"/>
      <w:sz w:val="18"/>
      <w:szCs w:val="18"/>
      <w:u w:val="none"/>
    </w:rPr>
  </w:style>
  <w:style w:type="character" w:customStyle="1" w:styleId="39">
    <w:name w:val="Footer Char"/>
    <w:qFormat/>
    <w:locked/>
    <w:uiPriority w:val="0"/>
    <w:rPr>
      <w:rFonts w:cs="Times New Roman"/>
      <w:sz w:val="18"/>
      <w:szCs w:val="18"/>
    </w:rPr>
  </w:style>
  <w:style w:type="character" w:customStyle="1" w:styleId="40">
    <w:name w:val="font111"/>
    <w:qFormat/>
    <w:uiPriority w:val="0"/>
    <w:rPr>
      <w:rFonts w:ascii="Times New Roman" w:hAnsi="Times New Roman" w:cs="Times New Roman"/>
      <w:color w:val="000000"/>
      <w:sz w:val="22"/>
      <w:szCs w:val="22"/>
      <w:u w:val="none"/>
    </w:rPr>
  </w:style>
  <w:style w:type="character" w:customStyle="1" w:styleId="41">
    <w:name w:val="font151"/>
    <w:qFormat/>
    <w:uiPriority w:val="0"/>
    <w:rPr>
      <w:rFonts w:ascii="宋体" w:hAnsi="宋体" w:eastAsia="宋体" w:cs="宋体"/>
      <w:color w:val="000000"/>
      <w:sz w:val="21"/>
      <w:szCs w:val="21"/>
      <w:u w:val="none"/>
    </w:rPr>
  </w:style>
  <w:style w:type="character" w:customStyle="1" w:styleId="42">
    <w:name w:val="font61"/>
    <w:qFormat/>
    <w:uiPriority w:val="0"/>
    <w:rPr>
      <w:rFonts w:ascii="宋体" w:hAnsi="宋体" w:eastAsia="宋体" w:cs="宋体"/>
      <w:color w:val="000000"/>
      <w:sz w:val="18"/>
      <w:szCs w:val="18"/>
      <w:u w:val="none"/>
    </w:rPr>
  </w:style>
  <w:style w:type="paragraph" w:customStyle="1" w:styleId="43">
    <w:name w:val="Char"/>
    <w:basedOn w:val="1"/>
    <w:qFormat/>
    <w:uiPriority w:val="0"/>
    <w:pPr>
      <w:tabs>
        <w:tab w:val="left" w:pos="0"/>
      </w:tabs>
    </w:pPr>
  </w:style>
  <w:style w:type="paragraph" w:customStyle="1" w:styleId="44">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5">
    <w:name w:val="_Style 33"/>
    <w:basedOn w:val="1"/>
    <w:qFormat/>
    <w:uiPriority w:val="0"/>
    <w:pPr>
      <w:spacing w:line="360" w:lineRule="auto"/>
      <w:ind w:firstLine="200" w:firstLineChars="200"/>
    </w:pPr>
    <w:rPr>
      <w:rFonts w:ascii="宋体" w:hAnsi="宋体" w:cs="宋体"/>
      <w:sz w:val="24"/>
      <w:szCs w:val="20"/>
    </w:rPr>
  </w:style>
  <w:style w:type="paragraph" w:customStyle="1" w:styleId="46">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7">
    <w:name w:val="List Paragraph"/>
    <w:basedOn w:val="1"/>
    <w:qFormat/>
    <w:uiPriority w:val="34"/>
    <w:pPr>
      <w:ind w:firstLine="420" w:firstLineChars="200"/>
    </w:pPr>
  </w:style>
  <w:style w:type="paragraph" w:customStyle="1" w:styleId="48">
    <w:name w:val="Char Char Char Char Char Char Char"/>
    <w:basedOn w:val="1"/>
    <w:qFormat/>
    <w:uiPriority w:val="0"/>
  </w:style>
  <w:style w:type="paragraph" w:customStyle="1" w:styleId="49">
    <w:name w:val="Char1"/>
    <w:basedOn w:val="1"/>
    <w:qFormat/>
    <w:uiPriority w:val="0"/>
  </w:style>
  <w:style w:type="paragraph" w:customStyle="1" w:styleId="50">
    <w:name w:val="列出段落1"/>
    <w:basedOn w:val="1"/>
    <w:qFormat/>
    <w:uiPriority w:val="0"/>
    <w:pPr>
      <w:ind w:firstLine="420" w:firstLineChars="200"/>
    </w:pPr>
    <w:rPr>
      <w:rFonts w:ascii="Calibri" w:hAnsi="Calibri"/>
      <w:szCs w:val="22"/>
    </w:rPr>
  </w:style>
  <w:style w:type="character" w:customStyle="1" w:styleId="51">
    <w:name w:val="apple-converted-space"/>
    <w:qFormat/>
    <w:uiPriority w:val="0"/>
    <w:rPr>
      <w:rFonts w:cs="Times New Roman"/>
    </w:rPr>
  </w:style>
  <w:style w:type="character" w:customStyle="1" w:styleId="52">
    <w:name w:val="NormalCharacter"/>
    <w:semiHidden/>
    <w:qFormat/>
    <w:uiPriority w:val="0"/>
  </w:style>
  <w:style w:type="paragraph" w:customStyle="1" w:styleId="53">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4">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5">
    <w:name w:val="p0"/>
    <w:basedOn w:val="1"/>
    <w:qFormat/>
    <w:uiPriority w:val="0"/>
    <w:pPr>
      <w:widowControl/>
      <w:spacing w:line="365" w:lineRule="atLeast"/>
      <w:ind w:left="1"/>
    </w:pPr>
    <w:rPr>
      <w:rFonts w:ascii="Calibri" w:hAnsi="Calibri"/>
      <w:kern w:val="0"/>
      <w:sz w:val="20"/>
      <w:szCs w:val="20"/>
    </w:rPr>
  </w:style>
  <w:style w:type="character" w:customStyle="1" w:styleId="56">
    <w:name w:val="font11"/>
    <w:qFormat/>
    <w:uiPriority w:val="0"/>
    <w:rPr>
      <w:rFonts w:hint="eastAsia" w:ascii="仿宋_GB2312" w:eastAsia="仿宋_GB2312" w:cs="仿宋_GB2312"/>
      <w:color w:val="000000"/>
      <w:sz w:val="24"/>
      <w:szCs w:val="24"/>
      <w:u w:val="none"/>
      <w:vertAlign w:val="superscript"/>
    </w:rPr>
  </w:style>
  <w:style w:type="character" w:customStyle="1" w:styleId="57">
    <w:name w:val="font41"/>
    <w:qFormat/>
    <w:uiPriority w:val="0"/>
    <w:rPr>
      <w:rFonts w:hint="eastAsia" w:ascii="宋体" w:hAnsi="宋体" w:eastAsia="宋体" w:cs="宋体"/>
      <w:color w:val="000000"/>
      <w:sz w:val="24"/>
      <w:szCs w:val="24"/>
      <w:u w:val="none"/>
    </w:rPr>
  </w:style>
  <w:style w:type="character" w:customStyle="1" w:styleId="58">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9">
    <w:name w:val="font31"/>
    <w:qFormat/>
    <w:uiPriority w:val="0"/>
    <w:rPr>
      <w:rFonts w:hint="eastAsia" w:ascii="仿宋_GB2312" w:eastAsia="仿宋_GB2312" w:cs="仿宋_GB2312"/>
      <w:color w:val="000000"/>
      <w:sz w:val="24"/>
      <w:szCs w:val="24"/>
      <w:u w:val="none"/>
    </w:rPr>
  </w:style>
  <w:style w:type="character" w:customStyle="1" w:styleId="60">
    <w:name w:val="Char Char1"/>
    <w:qFormat/>
    <w:uiPriority w:val="0"/>
    <w:rPr>
      <w:sz w:val="18"/>
      <w:szCs w:val="18"/>
    </w:rPr>
  </w:style>
  <w:style w:type="character" w:customStyle="1" w:styleId="61">
    <w:name w:val="页脚 Char"/>
    <w:basedOn w:val="19"/>
    <w:qFormat/>
    <w:uiPriority w:val="99"/>
    <w:rPr>
      <w:sz w:val="18"/>
      <w:szCs w:val="18"/>
    </w:rPr>
  </w:style>
  <w:style w:type="paragraph" w:customStyle="1" w:styleId="62">
    <w:name w:val="Char2"/>
    <w:basedOn w:val="1"/>
    <w:qFormat/>
    <w:uiPriority w:val="0"/>
    <w:pPr>
      <w:tabs>
        <w:tab w:val="left" w:pos="0"/>
      </w:tabs>
    </w:pPr>
  </w:style>
  <w:style w:type="paragraph" w:customStyle="1" w:styleId="63">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4">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5">
    <w:name w:val="Header Char"/>
    <w:basedOn w:val="19"/>
    <w:qFormat/>
    <w:locked/>
    <w:uiPriority w:val="0"/>
    <w:rPr>
      <w:rFonts w:cs="Times New Roman"/>
      <w:sz w:val="18"/>
      <w:szCs w:val="18"/>
    </w:rPr>
  </w:style>
  <w:style w:type="paragraph" w:customStyle="1" w:styleId="66">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7">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8">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9">
    <w:name w:val="表内文字1"/>
    <w:basedOn w:val="1"/>
    <w:qFormat/>
    <w:uiPriority w:val="0"/>
    <w:pPr>
      <w:adjustRightInd w:val="0"/>
      <w:snapToGrid w:val="0"/>
      <w:jc w:val="center"/>
    </w:pPr>
    <w:rPr>
      <w:snapToGrid w:val="0"/>
      <w:kern w:val="0"/>
      <w:szCs w:val="20"/>
    </w:rPr>
  </w:style>
  <w:style w:type="character" w:customStyle="1" w:styleId="70">
    <w:name w:val="15"/>
    <w:qFormat/>
    <w:uiPriority w:val="0"/>
    <w:rPr>
      <w:rFonts w:hint="default" w:ascii="Times New Roman" w:hAnsi="Times New Roman" w:eastAsia="宋体" w:cs="Times New Roman"/>
      <w:color w:val="0000FF"/>
      <w:u w:val="single"/>
    </w:rPr>
  </w:style>
  <w:style w:type="paragraph" w:customStyle="1" w:styleId="71">
    <w:name w:val="正文（公文）"/>
    <w:basedOn w:val="1"/>
    <w:qFormat/>
    <w:uiPriority w:val="0"/>
    <w:pPr>
      <w:spacing w:line="580" w:lineRule="exact"/>
      <w:ind w:firstLine="420"/>
    </w:pPr>
    <w:rPr>
      <w:rFonts w:ascii="Calibri" w:hAnsi="Calibri" w:eastAsia="方正仿宋_GBK"/>
      <w:sz w:val="32"/>
    </w:rPr>
  </w:style>
  <w:style w:type="paragraph" w:customStyle="1" w:styleId="72">
    <w:name w:val="Char Char2"/>
    <w:basedOn w:val="1"/>
    <w:qFormat/>
    <w:uiPriority w:val="0"/>
    <w:pPr>
      <w:tabs>
        <w:tab w:val="left" w:pos="0"/>
      </w:tabs>
    </w:pPr>
  </w:style>
  <w:style w:type="paragraph" w:customStyle="1" w:styleId="73">
    <w:name w:val="文华表正文"/>
    <w:basedOn w:val="74"/>
    <w:qFormat/>
    <w:uiPriority w:val="0"/>
    <w:pPr>
      <w:ind w:firstLine="480"/>
    </w:pPr>
    <w:rPr>
      <w:rFonts w:hAnsi="宋体"/>
    </w:rPr>
  </w:style>
  <w:style w:type="paragraph" w:customStyle="1" w:styleId="74">
    <w:name w:val="报告表正文"/>
    <w:basedOn w:val="1"/>
    <w:qFormat/>
    <w:uiPriority w:val="0"/>
    <w:pPr>
      <w:spacing w:line="360" w:lineRule="auto"/>
      <w:ind w:firstLine="200" w:firstLineChars="200"/>
    </w:pPr>
    <w:rPr>
      <w:sz w:val="24"/>
    </w:rPr>
  </w:style>
  <w:style w:type="table" w:customStyle="1" w:styleId="75">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框文本 Char"/>
    <w:basedOn w:val="19"/>
    <w:link w:val="11"/>
    <w:qFormat/>
    <w:uiPriority w:val="0"/>
    <w:rPr>
      <w:kern w:val="2"/>
      <w:sz w:val="18"/>
      <w:szCs w:val="18"/>
    </w:rPr>
  </w:style>
  <w:style w:type="character" w:customStyle="1" w:styleId="77">
    <w:name w:val="正文文本缩进 Char"/>
    <w:basedOn w:val="19"/>
    <w:link w:val="9"/>
    <w:qFormat/>
    <w:uiPriority w:val="0"/>
    <w:rPr>
      <w:kern w:val="2"/>
      <w:sz w:val="21"/>
      <w:szCs w:val="24"/>
    </w:rPr>
  </w:style>
  <w:style w:type="character" w:customStyle="1" w:styleId="78">
    <w:name w:val="正文首行缩进 2 Char"/>
    <w:basedOn w:val="77"/>
    <w:link w:val="16"/>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1</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2025-10-29T07:52:00Z</cp:lastPrinted>
  <dcterms:modified xsi:type="dcterms:W3CDTF">2025-11-07T06:37:50Z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