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0" w:beforeLines="1000" w:after="624" w:afterLines="200" w:line="560" w:lineRule="exact"/>
        <w:ind w:right="-334" w:rightChars="-159"/>
        <w:jc w:val="center"/>
        <w:rPr>
          <w:rFonts w:hint="default" w:ascii="Times New Roman" w:hAnsi="Times New Roman" w:eastAsia="方正小标宋_GBK" w:cs="Times New Roman"/>
          <w:sz w:val="44"/>
          <w:szCs w:val="44"/>
        </w:rPr>
      </w:pPr>
      <w:r>
        <w:rPr>
          <w:rFonts w:hint="default" w:ascii="Times New Roman" w:hAnsi="Times New Roman" w:eastAsia="仿宋_GB2312" w:cs="Times New Roman"/>
          <w:sz w:val="32"/>
          <w:szCs w:val="32"/>
        </w:rPr>
        <w:t>黄环建函〔2025〕3</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号</w:t>
      </w:r>
    </w:p>
    <w:p>
      <w:pPr>
        <w:spacing w:line="560" w:lineRule="exact"/>
        <w:jc w:val="center"/>
        <w:rPr>
          <w:rFonts w:hint="default" w:ascii="Times New Roman" w:hAnsi="Times New Roman" w:eastAsia="方正小标宋简体" w:cs="Times New Roman"/>
          <w:color w:val="000000"/>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color w:val="000000"/>
          <w:sz w:val="44"/>
          <w:szCs w:val="44"/>
        </w:rPr>
      </w:pPr>
      <w:bookmarkStart w:id="0" w:name="OLE_LINK14"/>
      <w:r>
        <w:rPr>
          <w:rFonts w:hint="default" w:ascii="Times New Roman" w:hAnsi="Times New Roman" w:eastAsia="方正小标宋简体" w:cs="Times New Roman"/>
          <w:color w:val="000000"/>
          <w:sz w:val="44"/>
          <w:szCs w:val="44"/>
        </w:rPr>
        <w:t>关于黄山富林电子有限公司年产1000吨幼儿玩具注塑件项目环境影响报告</w:t>
      </w:r>
      <w:r>
        <w:rPr>
          <w:rFonts w:hint="eastAsia" w:ascii="Times New Roman" w:hAnsi="Times New Roman" w:eastAsia="方正小标宋简体" w:cs="Times New Roman"/>
          <w:color w:val="000000"/>
          <w:sz w:val="44"/>
          <w:szCs w:val="44"/>
          <w:lang w:val="en-US" w:eastAsia="zh-CN"/>
        </w:rPr>
        <w:t>表</w:t>
      </w:r>
      <w:r>
        <w:rPr>
          <w:rFonts w:hint="default" w:ascii="Times New Roman" w:hAnsi="Times New Roman" w:eastAsia="方正小标宋简体" w:cs="Times New Roman"/>
          <w:color w:val="000000"/>
          <w:sz w:val="44"/>
          <w:szCs w:val="44"/>
        </w:rPr>
        <w:t>的批复</w:t>
      </w:r>
    </w:p>
    <w:p>
      <w:pPr>
        <w:keepNext w:val="0"/>
        <w:keepLines w:val="0"/>
        <w:pageBreakBefore w:val="0"/>
        <w:kinsoku/>
        <w:wordWrap/>
        <w:overflowPunct/>
        <w:topLinePunct w:val="0"/>
        <w:autoSpaceDE/>
        <w:autoSpaceDN/>
        <w:bidi w:val="0"/>
        <w:spacing w:line="600" w:lineRule="exact"/>
        <w:ind w:firstLine="480" w:firstLineChars="200"/>
        <w:textAlignment w:val="auto"/>
        <w:rPr>
          <w:rFonts w:hint="default" w:ascii="Times New Roman" w:hAnsi="Times New Roman" w:cs="Times New Roman"/>
          <w:color w:val="000000"/>
          <w:kern w:val="0"/>
          <w:sz w:val="24"/>
          <w:szCs w:val="20"/>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 w:cs="Times New Roman"/>
          <w:color w:val="000000"/>
          <w:sz w:val="32"/>
          <w:szCs w:val="32"/>
          <w:lang w:val="zh-CN"/>
        </w:rPr>
      </w:pPr>
      <w:r>
        <w:rPr>
          <w:rFonts w:hint="eastAsia" w:ascii="Times New Roman" w:hAnsi="Times New Roman" w:eastAsia="仿宋_GB2312" w:cs="Times New Roman"/>
          <w:color w:val="000000"/>
          <w:sz w:val="32"/>
          <w:szCs w:val="32"/>
          <w:lang w:val="zh-CN"/>
        </w:rPr>
        <w:t>黄山富林电子有限公司：</w:t>
      </w:r>
      <w:r>
        <w:rPr>
          <w:rFonts w:hint="default" w:ascii="Times New Roman" w:hAnsi="Times New Roman" w:eastAsia="仿宋" w:cs="Times New Roman"/>
          <w:color w:val="000000"/>
          <w:sz w:val="32"/>
          <w:szCs w:val="32"/>
          <w:lang w:val="zh-CN"/>
        </w:rPr>
        <w:tab/>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000000"/>
          <w:sz w:val="32"/>
          <w:szCs w:val="32"/>
          <w:lang w:val="zh-CN"/>
        </w:rPr>
        <w:t>你公司报来年产1000吨幼儿玩具注塑件项目《行政许可申请书》和安徽众远环境科技有限公司编制的《黄山富林电子有限公司年产1000吨幼儿玩具注塑件项目</w:t>
      </w:r>
      <w:r>
        <w:rPr>
          <w:rFonts w:hint="default" w:ascii="Times New Roman" w:hAnsi="Times New Roman" w:eastAsia="仿宋_GB2312" w:cs="Times New Roman"/>
          <w:color w:val="auto"/>
          <w:sz w:val="32"/>
          <w:szCs w:val="32"/>
        </w:rPr>
        <w:t>环境影响报告</w:t>
      </w:r>
      <w:r>
        <w:rPr>
          <w:rFonts w:hint="eastAsia" w:ascii="Times New Roman" w:hAnsi="Times New Roman"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lang w:val="zh-CN"/>
        </w:rPr>
        <w:t>》（以下简称《报告</w:t>
      </w:r>
      <w:r>
        <w:rPr>
          <w:rFonts w:hint="eastAsia" w:ascii="Times New Roman" w:hAnsi="Times New Roman"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lang w:val="zh-CN"/>
        </w:rPr>
        <w:t>》）悉。经组织专家</w:t>
      </w:r>
      <w:r>
        <w:rPr>
          <w:rFonts w:hint="eastAsia" w:ascii="Times New Roman" w:hAnsi="Times New Roman" w:eastAsia="仿宋_GB2312" w:cs="Times New Roman"/>
          <w:color w:val="auto"/>
          <w:sz w:val="32"/>
          <w:szCs w:val="32"/>
          <w:lang w:val="en-US" w:eastAsia="zh-CN"/>
        </w:rPr>
        <w:t>函审</w:t>
      </w:r>
      <w:r>
        <w:rPr>
          <w:rFonts w:hint="default" w:ascii="Times New Roman" w:hAnsi="Times New Roman" w:eastAsia="仿宋_GB2312" w:cs="Times New Roman"/>
          <w:color w:val="auto"/>
          <w:sz w:val="32"/>
          <w:szCs w:val="32"/>
          <w:lang w:val="zh-CN"/>
        </w:rPr>
        <w:t>，并在黄山市生态环境局网站公示，公众无异议。经研究，现对《报告</w:t>
      </w:r>
      <w:r>
        <w:rPr>
          <w:rFonts w:hint="eastAsia" w:ascii="Times New Roman" w:hAnsi="Times New Roman"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lang w:val="zh-CN"/>
        </w:rPr>
        <w:t>》批复如下：</w:t>
      </w:r>
    </w:p>
    <w:p>
      <w:pPr>
        <w:keepNext w:val="0"/>
        <w:keepLines w:val="0"/>
        <w:pageBreakBefore w:val="0"/>
        <w:numPr>
          <w:ilvl w:val="0"/>
          <w:numId w:val="1"/>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rPr>
        <w:t>项目拟在安徽黄山高新技术产业开发区梅林大道57号现有厂区内建设（东经118度</w:t>
      </w: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val="zh-CN"/>
        </w:rPr>
        <w:t>分</w:t>
      </w:r>
      <w:r>
        <w:rPr>
          <w:rFonts w:hint="eastAsia" w:ascii="Times New Roman" w:hAnsi="Times New Roman" w:eastAsia="仿宋_GB2312" w:cs="Times New Roman"/>
          <w:color w:val="auto"/>
          <w:sz w:val="32"/>
          <w:szCs w:val="32"/>
          <w:lang w:val="en-US" w:eastAsia="zh-CN"/>
        </w:rPr>
        <w:t>28.665</w:t>
      </w:r>
      <w:r>
        <w:rPr>
          <w:rFonts w:hint="default" w:ascii="Times New Roman" w:hAnsi="Times New Roman" w:eastAsia="仿宋_GB2312" w:cs="Times New Roman"/>
          <w:color w:val="auto"/>
          <w:sz w:val="32"/>
          <w:szCs w:val="32"/>
          <w:lang w:val="zh-CN"/>
        </w:rPr>
        <w:t>秒，北纬29度</w:t>
      </w:r>
      <w:r>
        <w:rPr>
          <w:rFonts w:hint="eastAsia" w:ascii="Times New Roman" w:hAnsi="Times New Roman" w:eastAsia="仿宋_GB2312" w:cs="Times New Roman"/>
          <w:color w:val="auto"/>
          <w:sz w:val="32"/>
          <w:szCs w:val="32"/>
          <w:lang w:val="en-US" w:eastAsia="zh-CN"/>
        </w:rPr>
        <w:t>46</w:t>
      </w:r>
      <w:r>
        <w:rPr>
          <w:rFonts w:hint="default" w:ascii="Times New Roman" w:hAnsi="Times New Roman" w:eastAsia="仿宋_GB2312" w:cs="Times New Roman"/>
          <w:color w:val="auto"/>
          <w:sz w:val="32"/>
          <w:szCs w:val="32"/>
          <w:lang w:val="zh-CN"/>
        </w:rPr>
        <w:t>分</w:t>
      </w:r>
      <w:r>
        <w:rPr>
          <w:rFonts w:hint="eastAsia" w:ascii="Times New Roman" w:hAnsi="Times New Roman" w:eastAsia="仿宋_GB2312" w:cs="Times New Roman"/>
          <w:color w:val="auto"/>
          <w:sz w:val="32"/>
          <w:szCs w:val="32"/>
          <w:lang w:val="en-US" w:eastAsia="zh-CN"/>
        </w:rPr>
        <w:t>7.341</w:t>
      </w:r>
      <w:r>
        <w:rPr>
          <w:rFonts w:hint="default" w:ascii="Times New Roman" w:hAnsi="Times New Roman" w:eastAsia="仿宋_GB2312" w:cs="Times New Roman"/>
          <w:color w:val="auto"/>
          <w:sz w:val="32"/>
          <w:szCs w:val="32"/>
          <w:lang w:val="zh-CN"/>
        </w:rPr>
        <w:t>秒），</w:t>
      </w:r>
      <w:bookmarkStart w:id="1" w:name="OLE_LINK1"/>
      <w:r>
        <w:rPr>
          <w:rFonts w:hint="default" w:ascii="Times New Roman" w:hAnsi="Times New Roman" w:eastAsia="仿宋_GB2312" w:cs="Times New Roman"/>
          <w:color w:val="auto"/>
          <w:sz w:val="32"/>
          <w:szCs w:val="32"/>
          <w:lang w:val="zh-CN"/>
        </w:rPr>
        <w:t>总</w:t>
      </w:r>
      <w:bookmarkEnd w:id="1"/>
      <w:r>
        <w:rPr>
          <w:rFonts w:hint="default" w:ascii="Times New Roman" w:hAnsi="Times New Roman" w:eastAsia="仿宋_GB2312" w:cs="Times New Roman"/>
          <w:color w:val="auto"/>
          <w:sz w:val="32"/>
          <w:szCs w:val="32"/>
          <w:lang w:val="zh-CN"/>
        </w:rPr>
        <w:t>投资</w:t>
      </w:r>
      <w:r>
        <w:rPr>
          <w:rFonts w:hint="eastAsia" w:ascii="Times New Roman" w:hAnsi="Times New Roman" w:eastAsia="仿宋_GB2312" w:cs="Times New Roman"/>
          <w:color w:val="auto"/>
          <w:sz w:val="32"/>
          <w:szCs w:val="32"/>
          <w:lang w:val="en-US" w:eastAsia="zh-CN"/>
        </w:rPr>
        <w:t>1500</w:t>
      </w:r>
      <w:r>
        <w:rPr>
          <w:rFonts w:hint="default" w:ascii="Times New Roman" w:hAnsi="Times New Roman" w:eastAsia="仿宋_GB2312" w:cs="Times New Roman"/>
          <w:color w:val="auto"/>
          <w:sz w:val="32"/>
          <w:szCs w:val="32"/>
          <w:lang w:val="zh-CN"/>
        </w:rPr>
        <w:t>万元，其中环保投资</w:t>
      </w:r>
      <w:r>
        <w:rPr>
          <w:rFonts w:hint="eastAsia"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lang w:val="zh-CN"/>
        </w:rPr>
        <w:t>万元。</w:t>
      </w:r>
      <w:r>
        <w:rPr>
          <w:rFonts w:hint="eastAsia" w:ascii="仿宋_GB2312" w:hAnsi="仿宋_GB2312" w:eastAsia="仿宋_GB2312" w:cs="仿宋_GB2312"/>
          <w:b w:val="0"/>
          <w:bCs w:val="0"/>
          <w:color w:val="auto"/>
          <w:sz w:val="32"/>
          <w:szCs w:val="32"/>
          <w:highlight w:val="none"/>
          <w:shd w:val="clear" w:color="auto" w:fill="auto"/>
          <w:lang w:val="en-US" w:eastAsia="zh-CN"/>
        </w:rPr>
        <w:t>主</w:t>
      </w:r>
      <w:r>
        <w:rPr>
          <w:rFonts w:hint="eastAsia" w:ascii="Times New Roman" w:hAnsi="Times New Roman" w:eastAsia="仿宋_GB2312" w:cs="Times New Roman"/>
          <w:color w:val="auto"/>
          <w:sz w:val="32"/>
          <w:szCs w:val="32"/>
          <w:lang w:val="en-US" w:eastAsia="zh-CN"/>
        </w:rPr>
        <w:t>要利用现有厂房</w:t>
      </w:r>
      <w:r>
        <w:rPr>
          <w:rFonts w:hint="eastAsia" w:ascii="Times New Roman" w:hAnsi="Times New Roman" w:eastAsia="仿宋_GB2312" w:cs="Times New Roman"/>
          <w:color w:val="auto"/>
          <w:sz w:val="32"/>
          <w:szCs w:val="32"/>
          <w:lang w:val="zh-CN"/>
        </w:rPr>
        <w:t>建设注塑生产线，购置注塑机60台、自动化传送带流水线2条、破碎机4台、包装机4台，</w:t>
      </w:r>
      <w:r>
        <w:rPr>
          <w:rFonts w:hint="eastAsia" w:eastAsia="仿宋_GB2312"/>
          <w:color w:val="000000"/>
          <w:sz w:val="32"/>
          <w:szCs w:val="32"/>
        </w:rPr>
        <w:t>依托及配套建设相应的环保设施、环境风险防范措施以及公用、辅助、储运等设施，</w:t>
      </w:r>
      <w:r>
        <w:rPr>
          <w:rFonts w:hint="eastAsia" w:ascii="Times New Roman" w:hAnsi="Times New Roman" w:eastAsia="仿宋_GB2312" w:cs="Times New Roman"/>
          <w:color w:val="auto"/>
          <w:sz w:val="32"/>
          <w:szCs w:val="32"/>
          <w:lang w:val="zh-CN"/>
        </w:rPr>
        <w:t>年产1000吨幼儿玩具注塑件。项目建成后，全厂年产800万套电子语音集成电路模块、1000吨幼儿玩具注塑件。</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二、从生态环境保护角度，我局同意你公司按《报告</w:t>
      </w:r>
      <w:r>
        <w:rPr>
          <w:rFonts w:hint="eastAsia" w:ascii="Times New Roman" w:hAnsi="Times New Roman"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lang w:val="zh-CN"/>
        </w:rPr>
        <w:t>》所列建设项目的性质、规模、地点、采用的生产工艺和拟采取的各项环境保护措施进行建设，并重点做好以下工作：</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项目应按照“以新带老”的原则，对厂区所有已建内容进行排查，对存在的环境问题和《报告表》中明确的现有工程存在环境问题进行整改达到现行环境管理要求，并纳入本项目验收范围。</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落实地表水环境保护措施。对</w:t>
      </w:r>
      <w:r>
        <w:rPr>
          <w:rFonts w:hint="eastAsia" w:ascii="Times New Roman" w:hAnsi="Times New Roman" w:eastAsia="仿宋_GB2312" w:cs="Times New Roman"/>
          <w:color w:val="auto"/>
          <w:sz w:val="32"/>
          <w:szCs w:val="32"/>
          <w:lang w:val="en-US" w:eastAsia="zh-CN"/>
        </w:rPr>
        <w:t>原有</w:t>
      </w:r>
      <w:r>
        <w:rPr>
          <w:rFonts w:hint="default" w:ascii="Times New Roman" w:hAnsi="Times New Roman" w:eastAsia="仿宋_GB2312" w:cs="Times New Roman"/>
          <w:color w:val="auto"/>
          <w:sz w:val="32"/>
          <w:szCs w:val="32"/>
        </w:rPr>
        <w:t>的雨、污水管网系统进行全面排查，对于不符合要求及不能利用的管网，按规范要求新建，确保全厂雨污分流、</w:t>
      </w:r>
      <w:r>
        <w:rPr>
          <w:rFonts w:hint="eastAsia" w:ascii="Times New Roman" w:hAnsi="Times New Roman" w:eastAsia="仿宋_GB2312" w:cs="Times New Roman"/>
          <w:color w:val="auto"/>
          <w:sz w:val="32"/>
          <w:szCs w:val="32"/>
        </w:rPr>
        <w:t>雨污水管网收集</w:t>
      </w:r>
      <w:r>
        <w:rPr>
          <w:rFonts w:hint="default" w:ascii="Times New Roman" w:hAnsi="Times New Roman" w:eastAsia="仿宋_GB2312" w:cs="Times New Roman"/>
          <w:color w:val="auto"/>
          <w:sz w:val="32"/>
          <w:szCs w:val="32"/>
        </w:rPr>
        <w:t>的畅通。</w:t>
      </w:r>
      <w:r>
        <w:rPr>
          <w:rFonts w:hint="eastAsia" w:ascii="Times New Roman" w:hAnsi="Times New Roman" w:eastAsia="仿宋_GB2312" w:cs="Times New Roman"/>
          <w:color w:val="auto"/>
          <w:sz w:val="32"/>
          <w:szCs w:val="32"/>
          <w:lang w:val="en-US" w:eastAsia="zh-CN"/>
        </w:rPr>
        <w:t>全厂生产</w:t>
      </w:r>
      <w:r>
        <w:rPr>
          <w:rFonts w:hint="default" w:ascii="Times New Roman" w:hAnsi="Times New Roman" w:eastAsia="仿宋_GB2312" w:cs="Times New Roman"/>
          <w:color w:val="auto"/>
          <w:sz w:val="32"/>
          <w:szCs w:val="32"/>
        </w:rPr>
        <w:t>冷却水循环使用，不外排。</w:t>
      </w:r>
      <w:r>
        <w:rPr>
          <w:rFonts w:hint="eastAsia" w:ascii="Times New Roman" w:hAnsi="Times New Roman" w:eastAsia="仿宋_GB2312" w:cs="Times New Roman"/>
          <w:color w:val="auto"/>
          <w:sz w:val="32"/>
          <w:szCs w:val="32"/>
          <w:lang w:val="en-US" w:eastAsia="zh-CN"/>
        </w:rPr>
        <w:t>生活污水</w:t>
      </w:r>
      <w:r>
        <w:rPr>
          <w:rFonts w:hint="default" w:ascii="Times New Roman" w:hAnsi="Times New Roman" w:eastAsia="仿宋_GB2312" w:cs="Times New Roman"/>
          <w:color w:val="auto"/>
          <w:sz w:val="32"/>
          <w:szCs w:val="32"/>
        </w:rPr>
        <w:t>达到《污水综合排放标准》（GB8978-1996）表4中三级标准</w:t>
      </w:r>
      <w:r>
        <w:rPr>
          <w:rFonts w:hint="eastAsia"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rPr>
        <w:t>《污水排入城镇下水道水质标准》（GB/T31962-2015）表1中B级标准要求</w:t>
      </w:r>
      <w:r>
        <w:rPr>
          <w:rFonts w:hint="eastAsia" w:ascii="Times New Roman" w:hAnsi="Times New Roman" w:eastAsia="仿宋_GB2312" w:cs="Times New Roman"/>
          <w:color w:val="auto"/>
          <w:sz w:val="32"/>
          <w:szCs w:val="32"/>
          <w:lang w:val="en-US" w:eastAsia="zh-CN"/>
        </w:rPr>
        <w:t>进入</w:t>
      </w:r>
      <w:r>
        <w:rPr>
          <w:rFonts w:hint="default" w:ascii="Times New Roman" w:hAnsi="Times New Roman" w:eastAsia="仿宋_GB2312" w:cs="Times New Roman"/>
          <w:color w:val="auto"/>
          <w:sz w:val="32"/>
          <w:szCs w:val="32"/>
        </w:rPr>
        <w:t>市政污水管网</w:t>
      </w:r>
      <w:r>
        <w:rPr>
          <w:rFonts w:hint="eastAsia" w:ascii="Times New Roman" w:hAnsi="Times New Roman" w:eastAsia="仿宋_GB2312" w:cs="Times New Roman"/>
          <w:color w:val="auto"/>
          <w:sz w:val="32"/>
          <w:szCs w:val="32"/>
          <w:lang w:val="en-US" w:eastAsia="zh-CN"/>
        </w:rPr>
        <w:t>至黄山市第二水质净化厂（黄山市第二污水处理厂）</w:t>
      </w:r>
      <w:r>
        <w:rPr>
          <w:rFonts w:hint="default" w:ascii="Times New Roman" w:hAnsi="Times New Roman" w:eastAsia="仿宋_GB2312" w:cs="Times New Roman"/>
          <w:color w:val="auto"/>
          <w:sz w:val="32"/>
          <w:szCs w:val="32"/>
        </w:rPr>
        <w:t>处理后排入横江</w:t>
      </w:r>
      <w:r>
        <w:rPr>
          <w:rFonts w:hint="eastAsia" w:eastAsia="仿宋_GB2312"/>
          <w:bCs/>
          <w:color w:val="auto"/>
          <w:sz w:val="32"/>
          <w:szCs w:val="32"/>
        </w:rPr>
        <w:t>。</w:t>
      </w:r>
    </w:p>
    <w:p>
      <w:pPr>
        <w:keepNext w:val="0"/>
        <w:keepLines w:val="0"/>
        <w:pageBreakBefore w:val="0"/>
        <w:widowControl/>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落实大气污染防治措施。项目应确保所在区域环境空气质量达到《环境空气质量标准》（GB3095-2012）及2018年修改单中规定的二级浓度限值，非甲烷总烃</w:t>
      </w:r>
      <w:r>
        <w:rPr>
          <w:rFonts w:hint="eastAsia" w:ascii="Times New Roman" w:hAnsi="Times New Roman" w:eastAsia="仿宋_GB2312" w:cs="Times New Roman"/>
          <w:color w:val="auto"/>
          <w:sz w:val="32"/>
          <w:szCs w:val="32"/>
          <w:lang w:val="en-US" w:eastAsia="zh-CN"/>
        </w:rPr>
        <w:t>参照执行</w:t>
      </w:r>
      <w:r>
        <w:rPr>
          <w:rFonts w:hint="default" w:ascii="Times New Roman" w:hAnsi="Times New Roman" w:eastAsia="仿宋_GB2312" w:cs="Times New Roman"/>
          <w:color w:val="auto"/>
          <w:sz w:val="32"/>
          <w:szCs w:val="32"/>
        </w:rPr>
        <w:t>《大气污染物综合排放标准详解》中的推荐值标准，氨、苯、苯乙烯、丙烯腈、甲醛、甲苯</w:t>
      </w:r>
      <w:r>
        <w:rPr>
          <w:rFonts w:hint="eastAsia" w:ascii="Times New Roman" w:hAnsi="Times New Roman" w:eastAsia="仿宋_GB2312" w:cs="Times New Roman"/>
          <w:color w:val="auto"/>
          <w:sz w:val="32"/>
          <w:szCs w:val="32"/>
          <w:lang w:val="en-US" w:eastAsia="zh-CN"/>
        </w:rPr>
        <w:t>参照执行</w:t>
      </w:r>
      <w:r>
        <w:rPr>
          <w:rFonts w:hint="default" w:ascii="Times New Roman" w:hAnsi="Times New Roman" w:eastAsia="仿宋_GB2312" w:cs="Times New Roman"/>
          <w:color w:val="auto"/>
          <w:sz w:val="32"/>
          <w:szCs w:val="32"/>
        </w:rPr>
        <w:t>《环境影响评价技术导则大气环境》(HJ 2.2-2018）附录D中的质量浓度参考限值</w:t>
      </w:r>
      <w:r>
        <w:rPr>
          <w:rFonts w:hint="default" w:ascii="Times New Roman" w:hAnsi="Times New Roman" w:eastAsia="仿宋_GB2312" w:cs="Times New Roman"/>
          <w:bCs/>
          <w:color w:val="auto"/>
          <w:sz w:val="32"/>
          <w:szCs w:val="32"/>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Cs/>
          <w:color w:val="000000"/>
          <w:sz w:val="32"/>
          <w:szCs w:val="32"/>
        </w:rPr>
        <w:t>加强</w:t>
      </w:r>
      <w:r>
        <w:rPr>
          <w:rFonts w:hint="default" w:ascii="Times New Roman" w:hAnsi="Times New Roman" w:eastAsia="仿宋_GB2312" w:cs="Times New Roman"/>
          <w:bCs/>
          <w:color w:val="000000"/>
          <w:sz w:val="32"/>
          <w:szCs w:val="32"/>
          <w:lang w:eastAsia="zh-CN"/>
        </w:rPr>
        <w:t>原料</w:t>
      </w:r>
      <w:r>
        <w:rPr>
          <w:rFonts w:hint="default" w:ascii="Times New Roman" w:hAnsi="Times New Roman" w:eastAsia="仿宋_GB2312" w:cs="Times New Roman"/>
          <w:bCs/>
          <w:color w:val="000000"/>
          <w:sz w:val="32"/>
          <w:szCs w:val="32"/>
        </w:rPr>
        <w:t>储存、输送、生产等全过</w:t>
      </w:r>
      <w:r>
        <w:rPr>
          <w:rFonts w:hint="default" w:ascii="Times New Roman" w:hAnsi="Times New Roman" w:eastAsia="仿宋_GB2312" w:cs="Times New Roman"/>
          <w:color w:val="auto"/>
          <w:sz w:val="32"/>
          <w:szCs w:val="32"/>
        </w:rPr>
        <w:t>程封闭管控，废气均纳入有组织收集和处理，最大限度减少无组织逸散，项目废气处理活性炭定期更换，确保废气稳定达标排放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按要求建设规范化</w:t>
      </w:r>
      <w:r>
        <w:rPr>
          <w:rFonts w:hint="default" w:ascii="Times New Roman" w:hAnsi="Times New Roman" w:eastAsia="仿宋_GB2312" w:cs="Times New Roman"/>
          <w:color w:val="auto"/>
          <w:sz w:val="32"/>
          <w:szCs w:val="32"/>
          <w:lang w:eastAsia="zh-CN"/>
        </w:rPr>
        <w:t>废气</w:t>
      </w:r>
      <w:r>
        <w:rPr>
          <w:rFonts w:hint="default" w:ascii="Times New Roman" w:hAnsi="Times New Roman" w:eastAsia="仿宋_GB2312" w:cs="Times New Roman"/>
          <w:color w:val="auto"/>
          <w:sz w:val="32"/>
          <w:szCs w:val="32"/>
        </w:rPr>
        <w:t>排</w:t>
      </w:r>
      <w:r>
        <w:rPr>
          <w:rFonts w:hint="default" w:ascii="Times New Roman" w:hAnsi="Times New Roman" w:eastAsia="仿宋_GB2312" w:cs="Times New Roman"/>
          <w:color w:val="auto"/>
          <w:sz w:val="32"/>
          <w:szCs w:val="32"/>
          <w:lang w:eastAsia="zh-CN"/>
        </w:rPr>
        <w:t>放</w:t>
      </w:r>
      <w:r>
        <w:rPr>
          <w:rFonts w:hint="default" w:ascii="Times New Roman" w:hAnsi="Times New Roman" w:eastAsia="仿宋_GB2312" w:cs="Times New Roman"/>
          <w:color w:val="auto"/>
          <w:sz w:val="32"/>
          <w:szCs w:val="32"/>
        </w:rPr>
        <w:t>口。</w:t>
      </w:r>
      <w:r>
        <w:rPr>
          <w:rFonts w:hint="default" w:ascii="Times New Roman" w:hAnsi="Times New Roman" w:eastAsia="仿宋_GB2312" w:cs="Times New Roman"/>
          <w:color w:val="auto"/>
          <w:sz w:val="32"/>
          <w:szCs w:val="32"/>
          <w:lang w:eastAsia="zh-CN"/>
        </w:rPr>
        <w:t>注塑废气经密闭</w:t>
      </w:r>
      <w:r>
        <w:rPr>
          <w:rFonts w:hint="eastAsia" w:ascii="Times New Roman" w:hAnsi="Times New Roman" w:eastAsia="仿宋_GB2312" w:cs="Times New Roman"/>
          <w:color w:val="auto"/>
          <w:sz w:val="32"/>
          <w:szCs w:val="32"/>
          <w:lang w:val="en-US" w:eastAsia="zh-CN"/>
        </w:rPr>
        <w:t>集气罩</w:t>
      </w:r>
      <w:r>
        <w:rPr>
          <w:rFonts w:hint="default" w:ascii="Times New Roman" w:hAnsi="Times New Roman" w:eastAsia="仿宋_GB2312" w:cs="Times New Roman"/>
          <w:color w:val="auto"/>
          <w:sz w:val="32"/>
          <w:szCs w:val="32"/>
          <w:lang w:eastAsia="zh-CN"/>
        </w:rPr>
        <w:t>收集后经二级</w:t>
      </w:r>
      <w:r>
        <w:rPr>
          <w:rFonts w:hint="eastAsia" w:ascii="Times New Roman" w:hAnsi="Times New Roman" w:eastAsia="仿宋_GB2312" w:cs="Times New Roman"/>
          <w:color w:val="auto"/>
          <w:sz w:val="32"/>
          <w:szCs w:val="32"/>
          <w:lang w:val="en-US" w:eastAsia="zh-CN"/>
        </w:rPr>
        <w:t>高效</w:t>
      </w:r>
      <w:r>
        <w:rPr>
          <w:rFonts w:hint="default" w:ascii="Times New Roman" w:hAnsi="Times New Roman" w:eastAsia="仿宋_GB2312" w:cs="Times New Roman"/>
          <w:color w:val="auto"/>
          <w:sz w:val="32"/>
          <w:szCs w:val="32"/>
          <w:lang w:eastAsia="zh-CN"/>
        </w:rPr>
        <w:t>活性炭</w:t>
      </w:r>
      <w:r>
        <w:rPr>
          <w:rFonts w:hint="eastAsia" w:ascii="Times New Roman" w:hAnsi="Times New Roman" w:eastAsia="仿宋_GB2312" w:cs="Times New Roman"/>
          <w:color w:val="auto"/>
          <w:sz w:val="32"/>
          <w:szCs w:val="32"/>
          <w:lang w:val="en-US" w:eastAsia="zh-CN"/>
        </w:rPr>
        <w:t>吸附</w:t>
      </w:r>
      <w:r>
        <w:rPr>
          <w:rFonts w:hint="default" w:ascii="Times New Roman" w:hAnsi="Times New Roman" w:eastAsia="仿宋_GB2312" w:cs="Times New Roman"/>
          <w:color w:val="auto"/>
          <w:sz w:val="32"/>
          <w:szCs w:val="32"/>
          <w:lang w:eastAsia="zh-CN"/>
        </w:rPr>
        <w:t>处理后经</w:t>
      </w:r>
      <w:r>
        <w:rPr>
          <w:rFonts w:hint="eastAsia" w:ascii="Times New Roman" w:hAnsi="Times New Roman" w:eastAsia="仿宋_GB2312" w:cs="Times New Roman"/>
          <w:color w:val="auto"/>
          <w:sz w:val="32"/>
          <w:szCs w:val="32"/>
          <w:lang w:val="en-US" w:eastAsia="zh-CN"/>
        </w:rPr>
        <w:t>不低于</w:t>
      </w:r>
      <w:r>
        <w:rPr>
          <w:rFonts w:hint="default" w:ascii="Times New Roman" w:hAnsi="Times New Roman" w:eastAsia="仿宋_GB2312" w:cs="Times New Roman"/>
          <w:color w:val="auto"/>
          <w:sz w:val="32"/>
          <w:szCs w:val="32"/>
          <w:lang w:eastAsia="zh-CN"/>
        </w:rPr>
        <w:t>15m高排气筒排放。破碎粉尘经</w:t>
      </w:r>
      <w:r>
        <w:rPr>
          <w:rFonts w:hint="eastAsia" w:ascii="Times New Roman" w:hAnsi="Times New Roman" w:eastAsia="仿宋_GB2312" w:cs="Times New Roman"/>
          <w:color w:val="auto"/>
          <w:sz w:val="32"/>
          <w:szCs w:val="32"/>
          <w:lang w:val="en-US" w:eastAsia="zh-CN"/>
        </w:rPr>
        <w:t>密闭</w:t>
      </w:r>
      <w:r>
        <w:rPr>
          <w:rFonts w:hint="default" w:ascii="Times New Roman" w:hAnsi="Times New Roman" w:eastAsia="仿宋_GB2312" w:cs="Times New Roman"/>
          <w:color w:val="auto"/>
          <w:sz w:val="32"/>
          <w:szCs w:val="32"/>
          <w:lang w:eastAsia="zh-CN"/>
        </w:rPr>
        <w:t>集气罩收集后经布袋除尘器处理后经</w:t>
      </w:r>
      <w:r>
        <w:rPr>
          <w:rFonts w:hint="eastAsia" w:ascii="Times New Roman" w:hAnsi="Times New Roman" w:eastAsia="仿宋_GB2312" w:cs="Times New Roman"/>
          <w:color w:val="auto"/>
          <w:sz w:val="32"/>
          <w:szCs w:val="32"/>
          <w:lang w:val="en-US" w:eastAsia="zh-CN"/>
        </w:rPr>
        <w:t>不低于</w:t>
      </w:r>
      <w:r>
        <w:rPr>
          <w:rFonts w:hint="default" w:ascii="Times New Roman" w:hAnsi="Times New Roman" w:eastAsia="仿宋_GB2312" w:cs="Times New Roman"/>
          <w:color w:val="auto"/>
          <w:sz w:val="32"/>
          <w:szCs w:val="32"/>
          <w:lang w:eastAsia="zh-CN"/>
        </w:rPr>
        <w:t>15m高排气筒排放。</w:t>
      </w:r>
      <w:r>
        <w:rPr>
          <w:rFonts w:hint="eastAsia" w:ascii="Times New Roman" w:hAnsi="Times New Roman" w:eastAsia="仿宋_GB2312" w:cs="Times New Roman"/>
          <w:color w:val="auto"/>
          <w:sz w:val="32"/>
          <w:szCs w:val="32"/>
          <w:lang w:val="en-US" w:eastAsia="zh-CN"/>
        </w:rPr>
        <w:t>食堂</w:t>
      </w:r>
      <w:r>
        <w:rPr>
          <w:rFonts w:hint="default" w:ascii="Times New Roman" w:hAnsi="Times New Roman" w:eastAsia="仿宋_GB2312" w:cs="Times New Roman"/>
          <w:color w:val="auto"/>
          <w:sz w:val="32"/>
          <w:szCs w:val="32"/>
          <w:lang w:eastAsia="zh-CN"/>
        </w:rPr>
        <w:t>餐饮油烟依托现有油烟净化设施处理后高于屋顶排放。</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2312" w:cs="Times New Roman"/>
          <w:b/>
          <w:bCs/>
          <w:color w:val="auto"/>
          <w:sz w:val="32"/>
          <w:szCs w:val="32"/>
        </w:rPr>
      </w:pPr>
      <w:bookmarkStart w:id="2" w:name="OLE_LINK160"/>
      <w:bookmarkStart w:id="3" w:name="OLE_LINK510"/>
      <w:r>
        <w:rPr>
          <w:rFonts w:hint="default" w:ascii="Times New Roman" w:hAnsi="Times New Roman" w:eastAsia="仿宋_GB2312" w:cs="Times New Roman"/>
          <w:color w:val="auto"/>
          <w:sz w:val="32"/>
          <w:szCs w:val="32"/>
          <w:lang w:val="zh-CN"/>
        </w:rPr>
        <w:t>项目非甲烷总烃、苯乙烯、甲苯有组织排放、二氯甲烷、丙烯腈、酚类、甲醛、苯、氯苯类有组织及厂界无组织排放、非甲烷总烃厂区内无组织排放应达到</w:t>
      </w:r>
      <w:r>
        <w:rPr>
          <w:rFonts w:hint="eastAsia" w:ascii="Times New Roman" w:hAnsi="Times New Roman" w:eastAsia="仿宋_GB2312" w:cs="Times New Roman"/>
          <w:color w:val="auto"/>
          <w:sz w:val="32"/>
          <w:szCs w:val="32"/>
          <w:lang w:val="en-US" w:eastAsia="zh-CN"/>
        </w:rPr>
        <w:t>安徽省地标</w:t>
      </w:r>
      <w:r>
        <w:rPr>
          <w:rFonts w:hint="default" w:ascii="Times New Roman" w:hAnsi="Times New Roman" w:eastAsia="仿宋_GB2312" w:cs="Times New Roman"/>
          <w:color w:val="auto"/>
          <w:sz w:val="32"/>
          <w:szCs w:val="32"/>
          <w:lang w:val="zh-CN"/>
        </w:rPr>
        <w:t>《固定源挥发性有机物综合排放标准第6部分：其他行业》(DB34/4812.6-2024)中表1、表2、表4及表5中相应排放限值及管控要求；1,3-丁二烯、乙苯、氨有组织排放、颗粒物有组织及厂界无组织排放、甲苯、非甲烷总烃厂界无组织排放应达到《合成树脂工业污染物排放标准》(GB31572-2015)及2024年修改单中表5和表9中大气污染物排放限值要求；臭气浓度有组织及厂界无组织排放、苯乙烯和氨厂界无组织排放应达到《恶臭污染物排放标准》(GB14554-93)表1和表2中相应标准要求。餐饮油烟排放应达到《饮食业油烟排放标准》(GB18483-2001)中型标准</w:t>
      </w:r>
      <w:r>
        <w:rPr>
          <w:rFonts w:hint="default" w:ascii="Times New Roman" w:hAnsi="Times New Roman" w:eastAsia="仿宋_GB2312" w:cs="Times New Roman"/>
          <w:color w:val="auto"/>
          <w:sz w:val="32"/>
          <w:szCs w:val="32"/>
        </w:rPr>
        <w:t>。</w:t>
      </w:r>
    </w:p>
    <w:bookmarkEnd w:id="2"/>
    <w:bookmarkEnd w:id="3"/>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东侧厂界外74m</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南侧厂界外90m</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北侧厂界外25m为公司的环境防护距离。该环境防护距离范围内不得有医院、学校、居民住宅</w:t>
      </w:r>
      <w:r>
        <w:rPr>
          <w:rFonts w:hint="eastAsia" w:ascii="Times New Roman" w:hAnsi="Times New Roman" w:eastAsia="仿宋_GB2312" w:cs="Times New Roman"/>
          <w:color w:val="auto"/>
          <w:sz w:val="32"/>
          <w:szCs w:val="32"/>
          <w:lang w:eastAsia="zh-CN"/>
        </w:rPr>
        <w:t>、食品企业</w:t>
      </w:r>
      <w:r>
        <w:rPr>
          <w:rFonts w:hint="default" w:ascii="Times New Roman" w:hAnsi="Times New Roman" w:eastAsia="仿宋_GB2312" w:cs="Times New Roman"/>
          <w:color w:val="auto"/>
          <w:sz w:val="32"/>
          <w:szCs w:val="32"/>
        </w:rPr>
        <w:t>等环境敏感建筑物。</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做好固体废物污染防治工作。建立健全工业固体废物产生、收集、贮存、运输、利用、处置全过程的污染环境防治责任制度，建立工业固体废物管理台账，按规定建设工业固废贮存场所，采取防治工业固体废物污染环境的措施。对废气处理废活性炭、废润滑油、废润滑油桶等危险废物按照《中华人民共和国固体废物污染环境防治法》中的特别规定和《危险废物贮存污染控制标准》(GB18597-2023)的要求，配套专用危险废物临时储存设施，配备专用储存容器进行收集，委托有资质的专业机构对其进行处置，并做好处置记录，不得随意处置；应制定危险废物管理计划，并将管理计划及危险废物管理有关资料向环境保护行政主管部门申报、备案</w:t>
      </w:r>
      <w:r>
        <w:rPr>
          <w:rFonts w:hint="default" w:ascii="Times New Roman" w:hAnsi="Times New Roman" w:eastAsia="仿宋_GB2312" w:cs="Times New Roman"/>
          <w:color w:val="auto"/>
          <w:sz w:val="32"/>
          <w:szCs w:val="32"/>
        </w:rPr>
        <w:t>。</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做好地下水、土壤污染防治工作。严格落实《报告表》中分区防渗重点污染防治区防渗措施和其它区域的一般防渗措施，确保地下水环境质量达到《地下水质量标准》(GB/T14848-2017)中的Ⅲ类标准和建设用地达到《土壤环境质量标准建设用地土壤污染风险管控标准(试行)》(GB36600-2018)表1中第二类用地筛选值标准，防止地下水、土壤受到污染</w:t>
      </w:r>
      <w:r>
        <w:rPr>
          <w:rFonts w:hint="default" w:ascii="Times New Roman" w:hAnsi="Times New Roman" w:eastAsia="仿宋_GB2312" w:cs="Times New Roman"/>
          <w:color w:val="000000"/>
          <w:sz w:val="32"/>
          <w:szCs w:val="32"/>
        </w:rPr>
        <w:t>，确保项目区域的地下水、土壤环境质量不降低。</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落实噪声污染防治措施。优先选用低噪声设备</w:t>
      </w:r>
      <w:r>
        <w:rPr>
          <w:rFonts w:hint="default" w:ascii="Times New Roman" w:hAnsi="Times New Roman" w:eastAsia="仿宋_GB2312" w:cs="Times New Roman"/>
          <w:color w:val="000000"/>
          <w:sz w:val="32"/>
          <w:szCs w:val="32"/>
          <w:lang w:val="en-US" w:eastAsia="zh-CN"/>
        </w:rPr>
        <w:t>并合理布局</w:t>
      </w:r>
      <w:r>
        <w:rPr>
          <w:rFonts w:hint="default" w:ascii="Times New Roman" w:hAnsi="Times New Roman" w:eastAsia="仿宋_GB2312" w:cs="Times New Roman"/>
          <w:color w:val="000000"/>
          <w:sz w:val="32"/>
          <w:szCs w:val="32"/>
        </w:rPr>
        <w:t>，对各类噪声源采取必要的隔声、减</w:t>
      </w:r>
      <w:r>
        <w:rPr>
          <w:rFonts w:hint="eastAsia" w:ascii="Times New Roman" w:hAnsi="Times New Roman" w:eastAsia="仿宋_GB2312" w:cs="Times New Roman"/>
          <w:color w:val="000000"/>
          <w:sz w:val="32"/>
          <w:szCs w:val="32"/>
          <w:lang w:val="en-US" w:eastAsia="zh-CN"/>
        </w:rPr>
        <w:t>振</w:t>
      </w:r>
      <w:r>
        <w:rPr>
          <w:rFonts w:hint="default" w:ascii="Times New Roman" w:hAnsi="Times New Roman" w:eastAsia="仿宋_GB2312" w:cs="Times New Roman"/>
          <w:color w:val="000000"/>
          <w:sz w:val="32"/>
          <w:szCs w:val="32"/>
        </w:rPr>
        <w:t>、消声、降噪措施，确保项目生产过程中东侧、西侧厂界昼夜噪声符合《工业企业厂界环境噪声排放标准》(GB12348-2008)中4类标准，其他厂界噪声排放</w:t>
      </w:r>
      <w:r>
        <w:rPr>
          <w:rFonts w:hint="eastAsia" w:ascii="Times New Roman" w:hAnsi="Times New Roman" w:eastAsia="仿宋_GB2312" w:cs="Times New Roman"/>
          <w:color w:val="000000"/>
          <w:sz w:val="32"/>
          <w:szCs w:val="32"/>
          <w:lang w:val="en-US" w:eastAsia="zh-CN"/>
        </w:rPr>
        <w:t>符合</w:t>
      </w:r>
      <w:r>
        <w:rPr>
          <w:rFonts w:hint="default" w:ascii="Times New Roman" w:hAnsi="Times New Roman" w:eastAsia="仿宋_GB2312" w:cs="Times New Roman"/>
          <w:color w:val="000000"/>
          <w:sz w:val="32"/>
          <w:szCs w:val="32"/>
        </w:rPr>
        <w:t>《工业企业厂界环境噪声排放标准》(GB12348-2008)中3类标准的限值要求。</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做好项目新污染物管控和环境风险防范工作。严格执行《重点管控新污染清单》(2023年版)要求，按照国家有关规定建设环境风险预警体系，对排放口和周边环境进行定期监测，评估环境风险，排查环境安全隐患，采取有效措施防范环境风险。按规定</w:t>
      </w:r>
      <w:r>
        <w:rPr>
          <w:rFonts w:hint="eastAsia" w:ascii="Times New Roman" w:hAnsi="Times New Roman" w:eastAsia="仿宋_GB2312" w:cs="Times New Roman"/>
          <w:color w:val="000000"/>
          <w:sz w:val="32"/>
          <w:szCs w:val="32"/>
          <w:lang w:val="en-US" w:eastAsia="zh-CN"/>
        </w:rPr>
        <w:t>修编</w:t>
      </w:r>
      <w:r>
        <w:rPr>
          <w:rFonts w:hint="default" w:ascii="Times New Roman" w:hAnsi="Times New Roman" w:eastAsia="仿宋_GB2312" w:cs="Times New Roman"/>
          <w:color w:val="000000"/>
          <w:sz w:val="32"/>
          <w:szCs w:val="32"/>
        </w:rPr>
        <w:t>突发环境事件应急预案，保证防范环境风险配套设施的落实；在生产中要严格执行防范环境风险事故的制度和措施，做好运输、贮存和生产等环节的环境风险管理；出现事故隐患等环境危害事件，应立即按照突发环境事件应急预案处置，包括停止生产，并及时向生态环境部门及相关部门报告。</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建立健全环境管理规章制度，设立环境管理机构，确定专人负责环保工作。加强对污染治理设施的管理和维护，确保污染治理设施正常运行，污染物稳定达标排放。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施工期应按《报告</w:t>
      </w:r>
      <w:r>
        <w:rPr>
          <w:rFonts w:hint="eastAsia" w:ascii="Times New Roman" w:hAnsi="Times New Roman" w:eastAsia="仿宋_GB2312" w:cs="Times New Roman"/>
          <w:color w:val="000000"/>
          <w:sz w:val="32"/>
          <w:szCs w:val="32"/>
          <w:lang w:val="en-US" w:eastAsia="zh-CN"/>
        </w:rPr>
        <w:t>表</w:t>
      </w:r>
      <w:r>
        <w:rPr>
          <w:rFonts w:hint="default" w:ascii="Times New Roman" w:hAnsi="Times New Roman" w:eastAsia="仿宋_GB2312" w:cs="Times New Roman"/>
          <w:color w:val="000000"/>
          <w:sz w:val="32"/>
          <w:szCs w:val="32"/>
        </w:rPr>
        <w:t>》要求及相关规定落实废气、废水、噪声等污染防治措施，做好固体废物管理，确保施工期污染物达标排放。</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三、应当严格执行安全生产各项规定，建立健全安全生产管理制度，将环保设备设施安全作为企业安全管理的重要组成部分，加强环保设备设施相关岗位人员安全培训。严格落实涉环保设备设施新、改、扩建项目环保和安全“三同时”有关要求，委托有资质的设计单位进行正规设计。对粉尘治理设施等重点环保设备设施，开展环保设备设施安全风险辨识评估和隐患排查治理，落实安全生产各项责任措施。</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四、建设项目必须严格执行环境保护“三同时”制度。项目规划设计应同步落实防治环境污染和生态破坏措施设计，保证环境保护设施投入。环保设施建设必须纳入施工合同，保证环保设施建设进度和资金。</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五、《报告表》经批准后，如项目的性质、规模、地点、采用的生产工艺或防治污染的措施发生重大变动的，应依法重新报批项目的环境影响评价文件。超过五年方决定该项目开工建设的，应依法报我局重新审核。</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六、国家对本项目应执行的环境标准作出修订或新颁布的要求，执行新标准和新要求。</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七、</w:t>
      </w:r>
      <w:r>
        <w:rPr>
          <w:rFonts w:hint="eastAsia" w:ascii="Times New Roman" w:hAnsi="Times New Roman" w:eastAsia="仿宋_GB2312" w:cs="Times New Roman"/>
          <w:color w:val="000000"/>
          <w:sz w:val="32"/>
          <w:szCs w:val="32"/>
          <w:lang w:val="en-US" w:eastAsia="zh-CN"/>
        </w:rPr>
        <w:t>本</w:t>
      </w:r>
      <w:r>
        <w:rPr>
          <w:rFonts w:hint="default" w:ascii="Times New Roman" w:hAnsi="Times New Roman" w:eastAsia="仿宋_GB2312" w:cs="Times New Roman"/>
          <w:color w:val="000000"/>
          <w:sz w:val="32"/>
          <w:szCs w:val="32"/>
          <w:lang w:val="en-US" w:eastAsia="zh-CN"/>
        </w:rPr>
        <w:t>项目</w:t>
      </w:r>
      <w:r>
        <w:rPr>
          <w:rFonts w:hint="eastAsia" w:ascii="Times New Roman" w:hAnsi="Times New Roman" w:eastAsia="仿宋_GB2312" w:cs="Times New Roman"/>
          <w:color w:val="000000"/>
          <w:sz w:val="32"/>
          <w:szCs w:val="32"/>
          <w:lang w:val="en-US" w:eastAsia="zh-CN"/>
        </w:rPr>
        <w:t>新增主要污染物总量控制指标：挥发性有机物0.513</w:t>
      </w:r>
      <w:r>
        <w:rPr>
          <w:rFonts w:hint="default" w:ascii="Times New Roman" w:hAnsi="Times New Roman" w:eastAsia="仿宋_GB2312" w:cs="Times New Roman"/>
          <w:color w:val="000000"/>
          <w:sz w:val="32"/>
          <w:szCs w:val="32"/>
          <w:lang w:val="en-US" w:eastAsia="zh-CN"/>
        </w:rPr>
        <w:t>t/a。</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八、</w:t>
      </w:r>
      <w:r>
        <w:rPr>
          <w:rFonts w:hint="eastAsia" w:ascii="Times New Roman" w:hAnsi="Times New Roman" w:eastAsia="仿宋_GB2312" w:cs="Times New Roman"/>
          <w:color w:val="000000"/>
          <w:sz w:val="32"/>
          <w:szCs w:val="32"/>
          <w:lang w:eastAsia="zh-CN"/>
        </w:rPr>
        <w:t>该项目投入生产或使用并产生实际排污行为之前，根据《固定污染源排污许可分类管理名录》申领排污许可证</w:t>
      </w:r>
      <w:r>
        <w:rPr>
          <w:rFonts w:hint="eastAsia" w:ascii="Times New Roman" w:hAnsi="Times New Roman" w:eastAsia="仿宋_GB2312" w:cs="Times New Roman"/>
          <w:color w:val="000000"/>
          <w:sz w:val="32"/>
          <w:szCs w:val="32"/>
          <w:lang w:val="en-US" w:eastAsia="zh-CN"/>
        </w:rPr>
        <w:t>或排污登记。</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九</w:t>
      </w:r>
      <w:r>
        <w:rPr>
          <w:rFonts w:hint="default" w:ascii="Times New Roman" w:hAnsi="Times New Roman" w:eastAsia="仿宋_GB2312" w:cs="Times New Roman"/>
          <w:color w:val="000000"/>
          <w:sz w:val="32"/>
          <w:szCs w:val="32"/>
          <w:lang w:eastAsia="zh-CN"/>
        </w:rPr>
        <w:t>、该项目建成后，应按照法定程序和要求及时开展建设项目竣工环境保护验收和验收信息报送工作，并依法依规公开相关信息。</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十、项目实施过程中应依法严格执行相关主管部门规定，取得法定许可后方可开工。</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bookmarkStart w:id="4" w:name="OLE_LINK16"/>
      <w:r>
        <w:rPr>
          <w:rFonts w:hint="default" w:ascii="Times New Roman" w:hAnsi="Times New Roman" w:eastAsia="仿宋_GB2312" w:cs="Times New Roman"/>
          <w:color w:val="000000"/>
          <w:sz w:val="32"/>
          <w:szCs w:val="32"/>
          <w:lang w:eastAsia="zh-CN"/>
        </w:rPr>
        <w:t>十</w:t>
      </w:r>
      <w:r>
        <w:rPr>
          <w:rFonts w:hint="eastAsia" w:ascii="Times New Roman" w:hAnsi="Times New Roman" w:eastAsia="仿宋_GB2312" w:cs="Times New Roman"/>
          <w:color w:val="000000"/>
          <w:sz w:val="32"/>
          <w:szCs w:val="32"/>
          <w:lang w:val="en-US" w:eastAsia="zh-CN"/>
        </w:rPr>
        <w:t>一</w:t>
      </w:r>
      <w:r>
        <w:rPr>
          <w:rFonts w:hint="default" w:ascii="Times New Roman" w:hAnsi="Times New Roman" w:eastAsia="仿宋_GB2312" w:cs="Times New Roman"/>
          <w:color w:val="000000"/>
          <w:sz w:val="32"/>
          <w:szCs w:val="32"/>
          <w:lang w:eastAsia="zh-CN"/>
        </w:rPr>
        <w:t>、请安徽</w:t>
      </w:r>
      <w:r>
        <w:rPr>
          <w:rFonts w:hint="default" w:ascii="Times New Roman" w:hAnsi="Times New Roman" w:eastAsia="仿宋_GB2312" w:cs="Times New Roman"/>
          <w:color w:val="000000"/>
          <w:sz w:val="32"/>
          <w:szCs w:val="32"/>
          <w:lang w:val="en-US" w:eastAsia="zh-CN"/>
        </w:rPr>
        <w:t>黄山高新技术产业开发区</w:t>
      </w:r>
      <w:r>
        <w:rPr>
          <w:rFonts w:hint="default" w:ascii="Times New Roman" w:hAnsi="Times New Roman" w:eastAsia="仿宋_GB2312" w:cs="Times New Roman"/>
          <w:color w:val="000000"/>
          <w:sz w:val="32"/>
          <w:szCs w:val="32"/>
          <w:lang w:eastAsia="zh-CN"/>
        </w:rPr>
        <w:t>管委会加强项目属地生态环境管理，市生态环境保护综合行政执法支队负责该项目环保“三同时”日常监督管理工作。</w:t>
      </w:r>
    </w:p>
    <w:bookmarkEnd w:id="4"/>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000000"/>
          <w:sz w:val="32"/>
          <w:szCs w:val="32"/>
        </w:rPr>
      </w:pPr>
    </w:p>
    <w:bookmarkEnd w:id="0"/>
    <w:p>
      <w:pPr>
        <w:keepNext w:val="0"/>
        <w:keepLines w:val="0"/>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楷体" w:cs="Times New Roman"/>
          <w:color w:val="000000"/>
          <w:sz w:val="24"/>
        </w:rPr>
      </w:pPr>
    </w:p>
    <w:p>
      <w:pPr>
        <w:keepNext w:val="0"/>
        <w:keepLines w:val="0"/>
        <w:pageBreakBefore w:val="0"/>
        <w:widowControl/>
        <w:kinsoku/>
        <w:wordWrap/>
        <w:overflowPunct/>
        <w:topLinePunct w:val="0"/>
        <w:autoSpaceDE/>
        <w:autoSpaceDN/>
        <w:bidi w:val="0"/>
        <w:adjustRightInd/>
        <w:snapToGrid w:val="0"/>
        <w:spacing w:line="600" w:lineRule="exact"/>
        <w:ind w:firstLine="5120" w:firstLineChars="1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 xml:space="preserve">日  </w:t>
      </w:r>
    </w:p>
    <w:p>
      <w:pPr>
        <w:spacing w:line="560" w:lineRule="exact"/>
        <w:ind w:left="320" w:hanging="320" w:hangingChars="100"/>
        <w:jc w:val="center"/>
        <w:rPr>
          <w:rFonts w:hint="default" w:ascii="Times New Roman" w:hAnsi="Times New Roman" w:eastAsia="仿宋_GB2312" w:cs="Times New Roman"/>
          <w:color w:val="000000"/>
          <w:sz w:val="32"/>
          <w:szCs w:val="32"/>
          <w:highlight w:val="yellow"/>
        </w:rPr>
      </w:pPr>
    </w:p>
    <w:p>
      <w:pPr>
        <w:pStyle w:val="2"/>
        <w:ind w:firstLine="480"/>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bookmarkStart w:id="5" w:name="_GoBack"/>
      <w:bookmarkEnd w:id="5"/>
    </w:p>
    <w:p>
      <w:pPr>
        <w:pStyle w:val="3"/>
        <w:spacing w:before="312"/>
        <w:rPr>
          <w:rFonts w:hint="default" w:ascii="Times New Roman" w:hAnsi="Times New Roman" w:cs="Times New Roman"/>
          <w:color w:val="000000"/>
        </w:rPr>
      </w:pPr>
    </w:p>
    <w:tbl>
      <w:tblPr>
        <w:tblStyle w:val="17"/>
        <w:tblpPr w:leftFromText="180" w:rightFromText="180" w:vertAnchor="text" w:horzAnchor="page" w:tblpX="1458" w:tblpY="1153"/>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9480" w:type="dxa"/>
            <w:tcBorders>
              <w:top w:val="single" w:color="auto" w:sz="4" w:space="0"/>
              <w:left w:val="nil"/>
              <w:bottom w:val="single" w:color="auto" w:sz="4" w:space="0"/>
              <w:right w:val="nil"/>
            </w:tcBorders>
            <w:noWrap w:val="0"/>
            <w:vAlign w:val="center"/>
          </w:tcPr>
          <w:p>
            <w:pPr>
              <w:adjustRightInd w:val="0"/>
              <w:snapToGrid w:val="0"/>
              <w:spacing w:line="560" w:lineRule="exact"/>
              <w:ind w:left="1119" w:leftChars="133" w:hanging="840" w:hangingChars="3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抄送</w:t>
            </w:r>
            <w:r>
              <w:rPr>
                <w:rFonts w:hint="default" w:ascii="Times New Roman" w:hAnsi="Times New Roman" w:eastAsia="仿宋_GB2312" w:cs="Times New Roman"/>
                <w:color w:val="000000"/>
                <w:sz w:val="28"/>
                <w:szCs w:val="28"/>
                <w:lang w:val="zh-CN"/>
              </w:rPr>
              <w:t>：</w:t>
            </w:r>
            <w:r>
              <w:rPr>
                <w:rFonts w:hint="default" w:ascii="Times New Roman" w:hAnsi="Times New Roman" w:eastAsia="仿宋_GB2312" w:cs="Times New Roman"/>
                <w:color w:val="000000"/>
                <w:sz w:val="28"/>
                <w:szCs w:val="28"/>
                <w:lang w:val="zh-CN"/>
              </w:rPr>
              <w:t>安徽</w:t>
            </w:r>
            <w:r>
              <w:rPr>
                <w:rFonts w:hint="default" w:ascii="Times New Roman" w:hAnsi="Times New Roman" w:eastAsia="仿宋_GB2312" w:cs="Times New Roman"/>
                <w:color w:val="000000"/>
                <w:sz w:val="28"/>
                <w:szCs w:val="28"/>
                <w:lang w:val="en-US" w:eastAsia="zh-CN"/>
              </w:rPr>
              <w:t>黄山高新技术产业</w:t>
            </w:r>
            <w:r>
              <w:rPr>
                <w:rFonts w:hint="default" w:ascii="Times New Roman" w:hAnsi="Times New Roman" w:eastAsia="仿宋_GB2312" w:cs="Times New Roman"/>
                <w:color w:val="000000"/>
                <w:sz w:val="28"/>
                <w:szCs w:val="28"/>
                <w:lang w:val="zh-CN"/>
              </w:rPr>
              <w:t>开发区管理委员会，市生态环境保护综合行政执法支队，安徽众远环境科技有限公司。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480" w:type="dxa"/>
            <w:tcBorders>
              <w:top w:val="single" w:color="auto" w:sz="4" w:space="0"/>
              <w:left w:val="nil"/>
              <w:bottom w:val="single" w:color="auto" w:sz="4" w:space="0"/>
              <w:right w:val="nil"/>
            </w:tcBorders>
            <w:noWrap w:val="0"/>
            <w:vAlign w:val="center"/>
          </w:tcPr>
          <w:p>
            <w:pPr>
              <w:adjustRightInd w:val="0"/>
              <w:snapToGrid w:val="0"/>
              <w:spacing w:line="560" w:lineRule="exact"/>
              <w:ind w:firstLine="280" w:firstLineChars="1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黄山市生态环境局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202</w:t>
            </w:r>
            <w:r>
              <w:rPr>
                <w:rFonts w:hint="eastAsia"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lang w:val="en-US" w:eastAsia="zh-CN"/>
              </w:rPr>
              <w:t>年</w:t>
            </w:r>
            <w:r>
              <w:rPr>
                <w:rFonts w:hint="eastAsia" w:eastAsia="仿宋_GB2312" w:cs="Times New Roman"/>
                <w:color w:val="000000"/>
                <w:sz w:val="28"/>
                <w:szCs w:val="28"/>
                <w:lang w:val="en-US" w:eastAsia="zh-CN"/>
              </w:rPr>
              <w:t>10</w:t>
            </w:r>
            <w:r>
              <w:rPr>
                <w:rFonts w:hint="default" w:ascii="Times New Roman" w:hAnsi="Times New Roman" w:eastAsia="仿宋_GB2312" w:cs="Times New Roman"/>
                <w:color w:val="000000"/>
                <w:sz w:val="28"/>
                <w:szCs w:val="28"/>
                <w:lang w:val="en-US" w:eastAsia="zh-CN"/>
              </w:rPr>
              <w:t>月</w:t>
            </w:r>
            <w:r>
              <w:rPr>
                <w:rFonts w:hint="eastAsia" w:eastAsia="仿宋_GB2312" w:cs="Times New Roman"/>
                <w:color w:val="000000"/>
                <w:sz w:val="28"/>
                <w:szCs w:val="28"/>
                <w:lang w:val="en-US" w:eastAsia="zh-CN"/>
              </w:rPr>
              <w:t>21</w:t>
            </w:r>
            <w:r>
              <w:rPr>
                <w:rFonts w:hint="default" w:ascii="Times New Roman" w:hAnsi="Times New Roman" w:eastAsia="仿宋_GB2312" w:cs="Times New Roman"/>
                <w:color w:val="000000"/>
                <w:sz w:val="28"/>
                <w:szCs w:val="28"/>
                <w:lang w:val="en-US" w:eastAsia="zh-CN"/>
              </w:rPr>
              <w:t>日印</w:t>
            </w:r>
            <w:r>
              <w:rPr>
                <w:rFonts w:hint="default" w:ascii="Times New Roman" w:hAnsi="Times New Roman" w:eastAsia="仿宋_GB2312" w:cs="Times New Roman"/>
                <w:color w:val="000000"/>
                <w:sz w:val="28"/>
                <w:szCs w:val="28"/>
              </w:rPr>
              <w:t>发</w:t>
            </w:r>
          </w:p>
        </w:tc>
      </w:tr>
    </w:tbl>
    <w:p>
      <w:pPr>
        <w:spacing w:line="560" w:lineRule="exact"/>
        <w:jc w:val="center"/>
        <w:rPr>
          <w:rFonts w:hint="default" w:ascii="Times New Roman" w:hAnsi="Times New Roman" w:cs="Times New Roman"/>
        </w:rPr>
      </w:pPr>
    </w:p>
    <w:sectPr>
      <w:footerReference r:id="rId3" w:type="default"/>
      <w:footerReference r:id="rId4" w:type="even"/>
      <w:pgSz w:w="11906" w:h="16838"/>
      <w:pgMar w:top="1984" w:right="1474" w:bottom="1417" w:left="1587" w:header="851" w:footer="794" w:gutter="0"/>
      <w:paperSrc/>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decorative"/>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FAA55"/>
    <w:multiLevelType w:val="singleLevel"/>
    <w:tmpl w:val="7A2FAA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1DC6"/>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0240"/>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20A"/>
    <w:rsid w:val="000B291B"/>
    <w:rsid w:val="000B61EC"/>
    <w:rsid w:val="000C0212"/>
    <w:rsid w:val="000C4EF4"/>
    <w:rsid w:val="000D012C"/>
    <w:rsid w:val="000D1670"/>
    <w:rsid w:val="000D29D6"/>
    <w:rsid w:val="000D3DEB"/>
    <w:rsid w:val="000D7F18"/>
    <w:rsid w:val="000E7C4C"/>
    <w:rsid w:val="000F0595"/>
    <w:rsid w:val="000F0BA0"/>
    <w:rsid w:val="000F2F4A"/>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176F"/>
    <w:rsid w:val="001427B4"/>
    <w:rsid w:val="0014436A"/>
    <w:rsid w:val="0014603B"/>
    <w:rsid w:val="00146133"/>
    <w:rsid w:val="001461D0"/>
    <w:rsid w:val="00146998"/>
    <w:rsid w:val="00147F58"/>
    <w:rsid w:val="00153D83"/>
    <w:rsid w:val="0015716C"/>
    <w:rsid w:val="00161E68"/>
    <w:rsid w:val="0016230F"/>
    <w:rsid w:val="0016303B"/>
    <w:rsid w:val="001630F9"/>
    <w:rsid w:val="001646AD"/>
    <w:rsid w:val="00164728"/>
    <w:rsid w:val="00165D45"/>
    <w:rsid w:val="001671A5"/>
    <w:rsid w:val="001712BA"/>
    <w:rsid w:val="001742B6"/>
    <w:rsid w:val="00174D74"/>
    <w:rsid w:val="00174E1C"/>
    <w:rsid w:val="00175CE7"/>
    <w:rsid w:val="00176574"/>
    <w:rsid w:val="001779AA"/>
    <w:rsid w:val="00183CCD"/>
    <w:rsid w:val="00185EA7"/>
    <w:rsid w:val="00190B86"/>
    <w:rsid w:val="00192DC6"/>
    <w:rsid w:val="00195F3A"/>
    <w:rsid w:val="0019672E"/>
    <w:rsid w:val="001A00ED"/>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E2069"/>
    <w:rsid w:val="001F0927"/>
    <w:rsid w:val="001F4B06"/>
    <w:rsid w:val="001F6496"/>
    <w:rsid w:val="001F6E30"/>
    <w:rsid w:val="001F7DE2"/>
    <w:rsid w:val="00200322"/>
    <w:rsid w:val="002005E2"/>
    <w:rsid w:val="00203831"/>
    <w:rsid w:val="00203C87"/>
    <w:rsid w:val="00204837"/>
    <w:rsid w:val="0020701E"/>
    <w:rsid w:val="00207A18"/>
    <w:rsid w:val="00210D73"/>
    <w:rsid w:val="00212F2F"/>
    <w:rsid w:val="002133EE"/>
    <w:rsid w:val="00215B78"/>
    <w:rsid w:val="00215D1A"/>
    <w:rsid w:val="002177C9"/>
    <w:rsid w:val="002215E0"/>
    <w:rsid w:val="002216C8"/>
    <w:rsid w:val="0022395C"/>
    <w:rsid w:val="00226D98"/>
    <w:rsid w:val="00227597"/>
    <w:rsid w:val="00227DAC"/>
    <w:rsid w:val="002364B3"/>
    <w:rsid w:val="00236E30"/>
    <w:rsid w:val="0024315E"/>
    <w:rsid w:val="0024572D"/>
    <w:rsid w:val="0024746E"/>
    <w:rsid w:val="0025127B"/>
    <w:rsid w:val="00254183"/>
    <w:rsid w:val="00256268"/>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0AE"/>
    <w:rsid w:val="00300949"/>
    <w:rsid w:val="00301132"/>
    <w:rsid w:val="0030135A"/>
    <w:rsid w:val="003015C0"/>
    <w:rsid w:val="00301E06"/>
    <w:rsid w:val="0030402F"/>
    <w:rsid w:val="003066E8"/>
    <w:rsid w:val="003076F7"/>
    <w:rsid w:val="00310AAF"/>
    <w:rsid w:val="00311475"/>
    <w:rsid w:val="00311486"/>
    <w:rsid w:val="003118DD"/>
    <w:rsid w:val="00312461"/>
    <w:rsid w:val="00315604"/>
    <w:rsid w:val="00317560"/>
    <w:rsid w:val="00322B59"/>
    <w:rsid w:val="00324D73"/>
    <w:rsid w:val="00333BFF"/>
    <w:rsid w:val="0033724E"/>
    <w:rsid w:val="0033759C"/>
    <w:rsid w:val="00340145"/>
    <w:rsid w:val="00340E36"/>
    <w:rsid w:val="00352F0F"/>
    <w:rsid w:val="00352F8C"/>
    <w:rsid w:val="003533FD"/>
    <w:rsid w:val="00353446"/>
    <w:rsid w:val="00353F2C"/>
    <w:rsid w:val="0035482B"/>
    <w:rsid w:val="00355B54"/>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964"/>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28DC"/>
    <w:rsid w:val="004A311F"/>
    <w:rsid w:val="004A4039"/>
    <w:rsid w:val="004A7810"/>
    <w:rsid w:val="004B3967"/>
    <w:rsid w:val="004B604C"/>
    <w:rsid w:val="004B62E8"/>
    <w:rsid w:val="004B6F3C"/>
    <w:rsid w:val="004B77F8"/>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3C0"/>
    <w:rsid w:val="004F3434"/>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2D9"/>
    <w:rsid w:val="005529D6"/>
    <w:rsid w:val="00552AF5"/>
    <w:rsid w:val="005546C1"/>
    <w:rsid w:val="00554C3B"/>
    <w:rsid w:val="00555B73"/>
    <w:rsid w:val="005565E4"/>
    <w:rsid w:val="00557A0D"/>
    <w:rsid w:val="00560046"/>
    <w:rsid w:val="005607DE"/>
    <w:rsid w:val="00560875"/>
    <w:rsid w:val="00560BB1"/>
    <w:rsid w:val="00565F97"/>
    <w:rsid w:val="0056634C"/>
    <w:rsid w:val="00570AB5"/>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734"/>
    <w:rsid w:val="005D7C8D"/>
    <w:rsid w:val="005F2C48"/>
    <w:rsid w:val="005F2CAA"/>
    <w:rsid w:val="005F3BA1"/>
    <w:rsid w:val="00602A5F"/>
    <w:rsid w:val="00603A9C"/>
    <w:rsid w:val="00607243"/>
    <w:rsid w:val="00607603"/>
    <w:rsid w:val="00607769"/>
    <w:rsid w:val="006110BE"/>
    <w:rsid w:val="00616C2C"/>
    <w:rsid w:val="006235B0"/>
    <w:rsid w:val="006242C4"/>
    <w:rsid w:val="006253D6"/>
    <w:rsid w:val="00626276"/>
    <w:rsid w:val="00626289"/>
    <w:rsid w:val="0062639B"/>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0B02"/>
    <w:rsid w:val="006812C5"/>
    <w:rsid w:val="00683A70"/>
    <w:rsid w:val="00690288"/>
    <w:rsid w:val="0069033E"/>
    <w:rsid w:val="00690BDB"/>
    <w:rsid w:val="00692773"/>
    <w:rsid w:val="0069331D"/>
    <w:rsid w:val="00693444"/>
    <w:rsid w:val="0069366E"/>
    <w:rsid w:val="006A134F"/>
    <w:rsid w:val="006A3EC4"/>
    <w:rsid w:val="006B123F"/>
    <w:rsid w:val="006B5BD8"/>
    <w:rsid w:val="006B5F8F"/>
    <w:rsid w:val="006B6B59"/>
    <w:rsid w:val="006B6B60"/>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1E5"/>
    <w:rsid w:val="007139A8"/>
    <w:rsid w:val="00723097"/>
    <w:rsid w:val="00724301"/>
    <w:rsid w:val="00727E51"/>
    <w:rsid w:val="00736857"/>
    <w:rsid w:val="007419DD"/>
    <w:rsid w:val="0074252B"/>
    <w:rsid w:val="00744077"/>
    <w:rsid w:val="007455AC"/>
    <w:rsid w:val="007455F0"/>
    <w:rsid w:val="00747BF1"/>
    <w:rsid w:val="00751D6C"/>
    <w:rsid w:val="00752FC4"/>
    <w:rsid w:val="00755605"/>
    <w:rsid w:val="00756848"/>
    <w:rsid w:val="007575A9"/>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1B48"/>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26E"/>
    <w:rsid w:val="008A0AAB"/>
    <w:rsid w:val="008A2AA6"/>
    <w:rsid w:val="008A4394"/>
    <w:rsid w:val="008A6CF8"/>
    <w:rsid w:val="008A7009"/>
    <w:rsid w:val="008B3EBD"/>
    <w:rsid w:val="008C2A2A"/>
    <w:rsid w:val="008C41A0"/>
    <w:rsid w:val="008C61CA"/>
    <w:rsid w:val="008C6F24"/>
    <w:rsid w:val="008C7FCB"/>
    <w:rsid w:val="008D292C"/>
    <w:rsid w:val="008D332D"/>
    <w:rsid w:val="008D3557"/>
    <w:rsid w:val="008D388B"/>
    <w:rsid w:val="008D6D45"/>
    <w:rsid w:val="008E00B7"/>
    <w:rsid w:val="008E03DD"/>
    <w:rsid w:val="008E2F28"/>
    <w:rsid w:val="008E34D9"/>
    <w:rsid w:val="008F3E9E"/>
    <w:rsid w:val="008F45B2"/>
    <w:rsid w:val="008F5A5D"/>
    <w:rsid w:val="008F5ED6"/>
    <w:rsid w:val="008F6968"/>
    <w:rsid w:val="008F7697"/>
    <w:rsid w:val="009025C7"/>
    <w:rsid w:val="00904306"/>
    <w:rsid w:val="00905176"/>
    <w:rsid w:val="00907BA7"/>
    <w:rsid w:val="0091325C"/>
    <w:rsid w:val="009157B0"/>
    <w:rsid w:val="0091793E"/>
    <w:rsid w:val="0092241D"/>
    <w:rsid w:val="009226BC"/>
    <w:rsid w:val="00930285"/>
    <w:rsid w:val="00932ED1"/>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16B"/>
    <w:rsid w:val="00983D24"/>
    <w:rsid w:val="009857B4"/>
    <w:rsid w:val="0098645E"/>
    <w:rsid w:val="009909AC"/>
    <w:rsid w:val="00990C5C"/>
    <w:rsid w:val="00992A93"/>
    <w:rsid w:val="00993FFE"/>
    <w:rsid w:val="009952BF"/>
    <w:rsid w:val="0099790B"/>
    <w:rsid w:val="009A0C27"/>
    <w:rsid w:val="009A245A"/>
    <w:rsid w:val="009A2A95"/>
    <w:rsid w:val="009A302C"/>
    <w:rsid w:val="009A472F"/>
    <w:rsid w:val="009A50BC"/>
    <w:rsid w:val="009A6A50"/>
    <w:rsid w:val="009A77E2"/>
    <w:rsid w:val="009B0387"/>
    <w:rsid w:val="009B0600"/>
    <w:rsid w:val="009B2340"/>
    <w:rsid w:val="009B2EF5"/>
    <w:rsid w:val="009B34B7"/>
    <w:rsid w:val="009B7313"/>
    <w:rsid w:val="009C2A2A"/>
    <w:rsid w:val="009C5282"/>
    <w:rsid w:val="009C544B"/>
    <w:rsid w:val="009C76EB"/>
    <w:rsid w:val="009D0637"/>
    <w:rsid w:val="009D34C3"/>
    <w:rsid w:val="009D45DC"/>
    <w:rsid w:val="009D4996"/>
    <w:rsid w:val="009E1CB5"/>
    <w:rsid w:val="009E2409"/>
    <w:rsid w:val="009E2F44"/>
    <w:rsid w:val="009E32D7"/>
    <w:rsid w:val="009E40CC"/>
    <w:rsid w:val="009F0CAB"/>
    <w:rsid w:val="009F176D"/>
    <w:rsid w:val="009F2242"/>
    <w:rsid w:val="009F35EE"/>
    <w:rsid w:val="009F6802"/>
    <w:rsid w:val="009F7389"/>
    <w:rsid w:val="00A0365F"/>
    <w:rsid w:val="00A043DB"/>
    <w:rsid w:val="00A05902"/>
    <w:rsid w:val="00A05D68"/>
    <w:rsid w:val="00A10C70"/>
    <w:rsid w:val="00A1624F"/>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1F63"/>
    <w:rsid w:val="00A42020"/>
    <w:rsid w:val="00A4531E"/>
    <w:rsid w:val="00A454CE"/>
    <w:rsid w:val="00A4634C"/>
    <w:rsid w:val="00A46418"/>
    <w:rsid w:val="00A46710"/>
    <w:rsid w:val="00A47612"/>
    <w:rsid w:val="00A53989"/>
    <w:rsid w:val="00A53D72"/>
    <w:rsid w:val="00A55CA0"/>
    <w:rsid w:val="00A608EC"/>
    <w:rsid w:val="00A63699"/>
    <w:rsid w:val="00A64917"/>
    <w:rsid w:val="00A64EEF"/>
    <w:rsid w:val="00A65025"/>
    <w:rsid w:val="00A65248"/>
    <w:rsid w:val="00A721AF"/>
    <w:rsid w:val="00A737BD"/>
    <w:rsid w:val="00A74E5F"/>
    <w:rsid w:val="00A74F32"/>
    <w:rsid w:val="00A77549"/>
    <w:rsid w:val="00A77EC0"/>
    <w:rsid w:val="00A80823"/>
    <w:rsid w:val="00A8229A"/>
    <w:rsid w:val="00A85465"/>
    <w:rsid w:val="00A85766"/>
    <w:rsid w:val="00A87C93"/>
    <w:rsid w:val="00A9468E"/>
    <w:rsid w:val="00AA0296"/>
    <w:rsid w:val="00AA12AA"/>
    <w:rsid w:val="00AA3289"/>
    <w:rsid w:val="00AA4628"/>
    <w:rsid w:val="00AA61D3"/>
    <w:rsid w:val="00AA7EB4"/>
    <w:rsid w:val="00AB3588"/>
    <w:rsid w:val="00AB4A95"/>
    <w:rsid w:val="00AC041C"/>
    <w:rsid w:val="00AC1EC9"/>
    <w:rsid w:val="00AC4B85"/>
    <w:rsid w:val="00AC4C56"/>
    <w:rsid w:val="00AD0BD4"/>
    <w:rsid w:val="00AD19F6"/>
    <w:rsid w:val="00AD32A7"/>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37A"/>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5723"/>
    <w:rsid w:val="00B46208"/>
    <w:rsid w:val="00B464A1"/>
    <w:rsid w:val="00B46E95"/>
    <w:rsid w:val="00B513F7"/>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3A1F"/>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3877"/>
    <w:rsid w:val="00BE3F11"/>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4E8"/>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4380"/>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68E8"/>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117E"/>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37C7"/>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144A"/>
    <w:rsid w:val="00E82EB8"/>
    <w:rsid w:val="00E8525A"/>
    <w:rsid w:val="00E85C7C"/>
    <w:rsid w:val="00E87520"/>
    <w:rsid w:val="00E9024E"/>
    <w:rsid w:val="00E912F6"/>
    <w:rsid w:val="00E93D37"/>
    <w:rsid w:val="00EA5467"/>
    <w:rsid w:val="00EB1771"/>
    <w:rsid w:val="00EB1C30"/>
    <w:rsid w:val="00EB229C"/>
    <w:rsid w:val="00EB314D"/>
    <w:rsid w:val="00EC048D"/>
    <w:rsid w:val="00EC1729"/>
    <w:rsid w:val="00EC2951"/>
    <w:rsid w:val="00EC509D"/>
    <w:rsid w:val="00EC54EF"/>
    <w:rsid w:val="00ED2C9F"/>
    <w:rsid w:val="00ED3482"/>
    <w:rsid w:val="00ED5358"/>
    <w:rsid w:val="00EE04FB"/>
    <w:rsid w:val="00EE433E"/>
    <w:rsid w:val="00EE4E76"/>
    <w:rsid w:val="00EE5140"/>
    <w:rsid w:val="00EE7028"/>
    <w:rsid w:val="00EF1D36"/>
    <w:rsid w:val="00EF2B9C"/>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4DAA"/>
    <w:rsid w:val="00FB53A2"/>
    <w:rsid w:val="00FB65B6"/>
    <w:rsid w:val="00FB7782"/>
    <w:rsid w:val="00FB7AA1"/>
    <w:rsid w:val="00FC20F9"/>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AED"/>
    <w:rsid w:val="00FE6DAC"/>
    <w:rsid w:val="00FE7E04"/>
    <w:rsid w:val="00FF0891"/>
    <w:rsid w:val="00FF649D"/>
    <w:rsid w:val="00FF7C42"/>
    <w:rsid w:val="012429F7"/>
    <w:rsid w:val="01464A94"/>
    <w:rsid w:val="015A2C06"/>
    <w:rsid w:val="019D6D96"/>
    <w:rsid w:val="01FB3D3B"/>
    <w:rsid w:val="021F7DC1"/>
    <w:rsid w:val="02E90691"/>
    <w:rsid w:val="02F4124E"/>
    <w:rsid w:val="03383ABC"/>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B03D5F"/>
    <w:rsid w:val="10E95EDA"/>
    <w:rsid w:val="110D6725"/>
    <w:rsid w:val="11C35B74"/>
    <w:rsid w:val="12346DCE"/>
    <w:rsid w:val="137D647C"/>
    <w:rsid w:val="148D4C99"/>
    <w:rsid w:val="1496733C"/>
    <w:rsid w:val="151E1F84"/>
    <w:rsid w:val="15660E3B"/>
    <w:rsid w:val="15D40B0A"/>
    <w:rsid w:val="17A56B63"/>
    <w:rsid w:val="181A30AD"/>
    <w:rsid w:val="18226406"/>
    <w:rsid w:val="18F341E5"/>
    <w:rsid w:val="19A6198A"/>
    <w:rsid w:val="1AF04599"/>
    <w:rsid w:val="1BB2184F"/>
    <w:rsid w:val="1C0F7F31"/>
    <w:rsid w:val="1D514E4D"/>
    <w:rsid w:val="1D6E4EF6"/>
    <w:rsid w:val="1EAF02C7"/>
    <w:rsid w:val="1F1D441C"/>
    <w:rsid w:val="1FA035DF"/>
    <w:rsid w:val="204F3B10"/>
    <w:rsid w:val="20636A07"/>
    <w:rsid w:val="21D267A7"/>
    <w:rsid w:val="22E05C1E"/>
    <w:rsid w:val="22ED7531"/>
    <w:rsid w:val="230C5CE8"/>
    <w:rsid w:val="24190515"/>
    <w:rsid w:val="24426B02"/>
    <w:rsid w:val="24491E4E"/>
    <w:rsid w:val="24656A00"/>
    <w:rsid w:val="261F21D6"/>
    <w:rsid w:val="266F09BF"/>
    <w:rsid w:val="276E7A08"/>
    <w:rsid w:val="28193786"/>
    <w:rsid w:val="28837790"/>
    <w:rsid w:val="28DA522C"/>
    <w:rsid w:val="28FB4835"/>
    <w:rsid w:val="2918284B"/>
    <w:rsid w:val="29356D18"/>
    <w:rsid w:val="2A313896"/>
    <w:rsid w:val="2B206969"/>
    <w:rsid w:val="2BEE242F"/>
    <w:rsid w:val="2D3505F7"/>
    <w:rsid w:val="2D984D48"/>
    <w:rsid w:val="2E323603"/>
    <w:rsid w:val="2E3E080C"/>
    <w:rsid w:val="2E6D7F83"/>
    <w:rsid w:val="2F032695"/>
    <w:rsid w:val="2FA31782"/>
    <w:rsid w:val="30274161"/>
    <w:rsid w:val="30405223"/>
    <w:rsid w:val="304363F6"/>
    <w:rsid w:val="310E1FD8"/>
    <w:rsid w:val="31181CFC"/>
    <w:rsid w:val="3140197F"/>
    <w:rsid w:val="318C57CC"/>
    <w:rsid w:val="31DE30C6"/>
    <w:rsid w:val="31F011F0"/>
    <w:rsid w:val="32CE6B16"/>
    <w:rsid w:val="32F12373"/>
    <w:rsid w:val="33E118EB"/>
    <w:rsid w:val="347A2B44"/>
    <w:rsid w:val="34DA491F"/>
    <w:rsid w:val="35461462"/>
    <w:rsid w:val="358D2CB9"/>
    <w:rsid w:val="36403B1B"/>
    <w:rsid w:val="36965340"/>
    <w:rsid w:val="36DD2A9E"/>
    <w:rsid w:val="37B418AC"/>
    <w:rsid w:val="381D6DB0"/>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641680C"/>
    <w:rsid w:val="57D04F5B"/>
    <w:rsid w:val="58D72319"/>
    <w:rsid w:val="590574F5"/>
    <w:rsid w:val="598A738C"/>
    <w:rsid w:val="5B48305A"/>
    <w:rsid w:val="5C875E04"/>
    <w:rsid w:val="5CD904EA"/>
    <w:rsid w:val="5D810F9D"/>
    <w:rsid w:val="5E270513"/>
    <w:rsid w:val="5E2F11F8"/>
    <w:rsid w:val="5E710B1A"/>
    <w:rsid w:val="5F322057"/>
    <w:rsid w:val="5F8E1DCD"/>
    <w:rsid w:val="62020179"/>
    <w:rsid w:val="64874BF3"/>
    <w:rsid w:val="65927696"/>
    <w:rsid w:val="65953340"/>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locked/>
    <w:uiPriority w:val="0"/>
    <w:pPr>
      <w:keepNext/>
      <w:keepLines/>
      <w:spacing w:before="340" w:after="330" w:line="578" w:lineRule="auto"/>
      <w:outlineLvl w:val="0"/>
    </w:pPr>
    <w:rPr>
      <w:b/>
      <w:bCs/>
      <w:kern w:val="44"/>
      <w:sz w:val="44"/>
      <w:szCs w:val="44"/>
    </w:rPr>
  </w:style>
  <w:style w:type="paragraph" w:styleId="5">
    <w:name w:val="heading 2"/>
    <w:basedOn w:val="1"/>
    <w:next w:val="1"/>
    <w:link w:val="30"/>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31"/>
    <w:qFormat/>
    <w:uiPriority w:val="0"/>
    <w:pPr>
      <w:ind w:firstLine="420" w:firstLineChars="200"/>
    </w:pPr>
    <w:rPr>
      <w:kern w:val="0"/>
      <w:sz w:val="24"/>
      <w:szCs w:val="20"/>
    </w:rPr>
  </w:style>
  <w:style w:type="paragraph" w:customStyle="1" w:styleId="3">
    <w:name w:val="附图图片"/>
    <w:basedOn w:val="1"/>
    <w:qFormat/>
    <w:uiPriority w:val="0"/>
    <w:pPr>
      <w:spacing w:before="100" w:beforeLines="100"/>
      <w:jc w:val="center"/>
    </w:pPr>
    <w:rPr>
      <w:rFonts w:eastAsia="楷体"/>
      <w:sz w:val="24"/>
    </w:rPr>
  </w:style>
  <w:style w:type="paragraph" w:styleId="6">
    <w:name w:val="annotation text"/>
    <w:basedOn w:val="1"/>
    <w:link w:val="32"/>
    <w:semiHidden/>
    <w:qFormat/>
    <w:uiPriority w:val="0"/>
    <w:pPr>
      <w:jc w:val="left"/>
    </w:pPr>
    <w:rPr>
      <w:szCs w:val="21"/>
    </w:rPr>
  </w:style>
  <w:style w:type="paragraph" w:styleId="7">
    <w:name w:val="Body Text"/>
    <w:basedOn w:val="1"/>
    <w:next w:val="1"/>
    <w:qFormat/>
    <w:uiPriority w:val="0"/>
    <w:pPr>
      <w:spacing w:after="120"/>
    </w:pPr>
  </w:style>
  <w:style w:type="paragraph" w:styleId="8">
    <w:name w:val="Body Text Indent"/>
    <w:basedOn w:val="1"/>
    <w:link w:val="77"/>
    <w:qFormat/>
    <w:uiPriority w:val="0"/>
    <w:pPr>
      <w:spacing w:after="120"/>
      <w:ind w:left="420" w:leftChars="200"/>
    </w:pPr>
  </w:style>
  <w:style w:type="paragraph" w:styleId="9">
    <w:name w:val="Date"/>
    <w:basedOn w:val="1"/>
    <w:next w:val="1"/>
    <w:link w:val="33"/>
    <w:qFormat/>
    <w:uiPriority w:val="0"/>
    <w:pPr>
      <w:ind w:left="100" w:leftChars="2500"/>
    </w:pPr>
    <w:rPr>
      <w:sz w:val="24"/>
    </w:rPr>
  </w:style>
  <w:style w:type="paragraph" w:styleId="10">
    <w:name w:val="Body Text Indent 2"/>
    <w:basedOn w:val="1"/>
    <w:link w:val="34"/>
    <w:qFormat/>
    <w:uiPriority w:val="0"/>
    <w:pPr>
      <w:spacing w:line="590" w:lineRule="exact"/>
      <w:ind w:firstLine="880" w:firstLineChars="200"/>
    </w:pPr>
    <w:rPr>
      <w:rFonts w:eastAsia="方正仿宋_GBK"/>
    </w:rPr>
  </w:style>
  <w:style w:type="paragraph" w:styleId="11">
    <w:name w:val="Balloon Text"/>
    <w:basedOn w:val="1"/>
    <w:link w:val="76"/>
    <w:qFormat/>
    <w:uiPriority w:val="0"/>
    <w:rPr>
      <w:sz w:val="18"/>
      <w:szCs w:val="18"/>
    </w:rPr>
  </w:style>
  <w:style w:type="paragraph" w:styleId="12">
    <w:name w:val="footer"/>
    <w:basedOn w:val="1"/>
    <w:link w:val="35"/>
    <w:qFormat/>
    <w:uiPriority w:val="0"/>
    <w:pPr>
      <w:tabs>
        <w:tab w:val="center" w:pos="4153"/>
        <w:tab w:val="right" w:pos="8306"/>
      </w:tabs>
      <w:snapToGrid w:val="0"/>
      <w:jc w:val="left"/>
    </w:pPr>
    <w:rPr>
      <w:sz w:val="18"/>
      <w:szCs w:val="20"/>
    </w:rPr>
  </w:style>
  <w:style w:type="paragraph" w:styleId="13">
    <w:name w:val="header"/>
    <w:basedOn w:val="1"/>
    <w:link w:val="36"/>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link w:val="78"/>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locked/>
    <w:uiPriority w:val="0"/>
    <w:rPr>
      <w:rFonts w:cs="Times New Roman"/>
      <w:b/>
      <w:bCs/>
    </w:rPr>
  </w:style>
  <w:style w:type="character" w:styleId="21">
    <w:name w:val="page number"/>
    <w:qFormat/>
    <w:uiPriority w:val="0"/>
    <w:rPr>
      <w:rFonts w:cs="Times New Roman"/>
    </w:rPr>
  </w:style>
  <w:style w:type="character" w:styleId="22">
    <w:name w:val="Emphasis"/>
    <w:qFormat/>
    <w:locked/>
    <w:uiPriority w:val="0"/>
    <w:rPr>
      <w:rFonts w:cs="Times New Roman"/>
      <w:i/>
      <w:iCs/>
    </w:rPr>
  </w:style>
  <w:style w:type="character" w:styleId="23">
    <w:name w:val="Hyperlink"/>
    <w:qFormat/>
    <w:uiPriority w:val="0"/>
    <w:rPr>
      <w:rFonts w:ascii="微软雅黑" w:hAnsi="微软雅黑" w:eastAsia="微软雅黑"/>
      <w:color w:val="000000"/>
      <w:sz w:val="18"/>
      <w:u w:val="none"/>
    </w:rPr>
  </w:style>
  <w:style w:type="paragraph" w:customStyle="1" w:styleId="24">
    <w:name w:val="Default"/>
    <w:basedOn w:val="25"/>
    <w:next w:val="26"/>
    <w:qFormat/>
    <w:uiPriority w:val="99"/>
    <w:pPr>
      <w:tabs>
        <w:tab w:val="left" w:pos="0"/>
      </w:tabs>
      <w:autoSpaceDE w:val="0"/>
      <w:autoSpaceDN w:val="0"/>
      <w:adjustRightInd w:val="0"/>
    </w:pPr>
    <w:rPr>
      <w:color w:val="000000"/>
      <w:sz w:val="24"/>
    </w:rPr>
  </w:style>
  <w:style w:type="paragraph" w:customStyle="1" w:styleId="25">
    <w:name w:val="标题2"/>
    <w:basedOn w:val="5"/>
    <w:qFormat/>
    <w:uiPriority w:val="0"/>
    <w:pPr>
      <w:tabs>
        <w:tab w:val="left" w:pos="0"/>
      </w:tabs>
      <w:spacing w:line="440" w:lineRule="exact"/>
      <w:ind w:left="1560"/>
    </w:pPr>
    <w:rPr>
      <w:sz w:val="28"/>
    </w:rPr>
  </w:style>
  <w:style w:type="paragraph" w:customStyle="1" w:styleId="26">
    <w:name w:val="样式3"/>
    <w:basedOn w:val="14"/>
    <w:next w:val="27"/>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7">
    <w:name w:val="目录 53"/>
    <w:basedOn w:val="1"/>
    <w:next w:val="1"/>
    <w:qFormat/>
    <w:uiPriority w:val="0"/>
    <w:pPr>
      <w:ind w:left="840"/>
    </w:pPr>
    <w:rPr>
      <w:rFonts w:cs="宋体"/>
      <w:color w:val="000000"/>
    </w:rPr>
  </w:style>
  <w:style w:type="paragraph" w:customStyle="1" w:styleId="28">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character" w:customStyle="1" w:styleId="29">
    <w:name w:val="标题 1 Char"/>
    <w:link w:val="4"/>
    <w:qFormat/>
    <w:uiPriority w:val="0"/>
    <w:rPr>
      <w:b/>
      <w:bCs/>
      <w:kern w:val="44"/>
      <w:sz w:val="44"/>
      <w:szCs w:val="44"/>
    </w:rPr>
  </w:style>
  <w:style w:type="character" w:customStyle="1" w:styleId="30">
    <w:name w:val="标题 2 Char"/>
    <w:link w:val="5"/>
    <w:qFormat/>
    <w:locked/>
    <w:uiPriority w:val="0"/>
    <w:rPr>
      <w:rFonts w:ascii="宋体" w:hAnsi="宋体" w:eastAsia="宋体" w:cs="宋体"/>
      <w:b/>
      <w:bCs/>
      <w:sz w:val="36"/>
      <w:szCs w:val="36"/>
      <w:lang w:val="en-US" w:eastAsia="zh-CN" w:bidi="ar-SA"/>
    </w:rPr>
  </w:style>
  <w:style w:type="character" w:customStyle="1" w:styleId="31">
    <w:name w:val="正文缩进 Char"/>
    <w:link w:val="2"/>
    <w:qFormat/>
    <w:locked/>
    <w:uiPriority w:val="0"/>
    <w:rPr>
      <w:rFonts w:eastAsia="宋体"/>
      <w:sz w:val="24"/>
      <w:lang w:bidi="ar-SA"/>
    </w:rPr>
  </w:style>
  <w:style w:type="character" w:customStyle="1" w:styleId="32">
    <w:name w:val="批注文字 Char"/>
    <w:basedOn w:val="19"/>
    <w:link w:val="6"/>
    <w:qFormat/>
    <w:locked/>
    <w:uiPriority w:val="0"/>
    <w:rPr>
      <w:rFonts w:eastAsia="宋体"/>
      <w:kern w:val="2"/>
      <w:sz w:val="21"/>
      <w:szCs w:val="21"/>
      <w:lang w:val="en-US" w:eastAsia="zh-CN" w:bidi="ar-SA"/>
    </w:rPr>
  </w:style>
  <w:style w:type="character" w:customStyle="1" w:styleId="33">
    <w:name w:val="日期 Char"/>
    <w:link w:val="9"/>
    <w:semiHidden/>
    <w:qFormat/>
    <w:locked/>
    <w:uiPriority w:val="0"/>
    <w:rPr>
      <w:rFonts w:cs="Times New Roman"/>
      <w:kern w:val="2"/>
      <w:sz w:val="24"/>
      <w:szCs w:val="24"/>
    </w:rPr>
  </w:style>
  <w:style w:type="character" w:customStyle="1" w:styleId="34">
    <w:name w:val="正文文本缩进 2 Char"/>
    <w:basedOn w:val="19"/>
    <w:link w:val="10"/>
    <w:qFormat/>
    <w:locked/>
    <w:uiPriority w:val="0"/>
    <w:rPr>
      <w:rFonts w:eastAsia="方正仿宋_GBK"/>
      <w:kern w:val="2"/>
      <w:sz w:val="21"/>
      <w:szCs w:val="24"/>
      <w:lang w:val="en-US" w:eastAsia="zh-CN" w:bidi="ar-SA"/>
    </w:rPr>
  </w:style>
  <w:style w:type="character" w:customStyle="1" w:styleId="35">
    <w:name w:val="页脚 Char1"/>
    <w:link w:val="12"/>
    <w:qFormat/>
    <w:locked/>
    <w:uiPriority w:val="0"/>
    <w:rPr>
      <w:kern w:val="2"/>
      <w:sz w:val="18"/>
    </w:rPr>
  </w:style>
  <w:style w:type="character" w:customStyle="1" w:styleId="36">
    <w:name w:val="页眉 Char"/>
    <w:link w:val="13"/>
    <w:qFormat/>
    <w:locked/>
    <w:uiPriority w:val="0"/>
    <w:rPr>
      <w:rFonts w:cs="Times New Roman"/>
      <w:kern w:val="2"/>
      <w:sz w:val="18"/>
    </w:rPr>
  </w:style>
  <w:style w:type="character" w:customStyle="1" w:styleId="37">
    <w:name w:val="font12"/>
    <w:qFormat/>
    <w:uiPriority w:val="0"/>
    <w:rPr>
      <w:rFonts w:ascii="宋体" w:hAnsi="宋体" w:eastAsia="宋体" w:cs="宋体"/>
      <w:color w:val="000000"/>
      <w:sz w:val="22"/>
      <w:szCs w:val="22"/>
      <w:u w:val="none"/>
    </w:rPr>
  </w:style>
  <w:style w:type="character" w:customStyle="1" w:styleId="38">
    <w:name w:val="font101"/>
    <w:qFormat/>
    <w:uiPriority w:val="0"/>
    <w:rPr>
      <w:rFonts w:ascii="Times New Roman" w:hAnsi="Times New Roman" w:cs="Times New Roman"/>
      <w:color w:val="000000"/>
      <w:sz w:val="18"/>
      <w:szCs w:val="18"/>
      <w:u w:val="none"/>
    </w:rPr>
  </w:style>
  <w:style w:type="character" w:customStyle="1" w:styleId="39">
    <w:name w:val="Footer Char"/>
    <w:qFormat/>
    <w:locked/>
    <w:uiPriority w:val="0"/>
    <w:rPr>
      <w:rFonts w:cs="Times New Roman"/>
      <w:sz w:val="18"/>
      <w:szCs w:val="18"/>
    </w:rPr>
  </w:style>
  <w:style w:type="character" w:customStyle="1" w:styleId="40">
    <w:name w:val="font111"/>
    <w:qFormat/>
    <w:uiPriority w:val="0"/>
    <w:rPr>
      <w:rFonts w:ascii="Times New Roman" w:hAnsi="Times New Roman" w:cs="Times New Roman"/>
      <w:color w:val="000000"/>
      <w:sz w:val="22"/>
      <w:szCs w:val="22"/>
      <w:u w:val="none"/>
    </w:rPr>
  </w:style>
  <w:style w:type="character" w:customStyle="1" w:styleId="41">
    <w:name w:val="font151"/>
    <w:qFormat/>
    <w:uiPriority w:val="0"/>
    <w:rPr>
      <w:rFonts w:ascii="宋体" w:hAnsi="宋体" w:eastAsia="宋体" w:cs="宋体"/>
      <w:color w:val="000000"/>
      <w:sz w:val="21"/>
      <w:szCs w:val="21"/>
      <w:u w:val="none"/>
    </w:rPr>
  </w:style>
  <w:style w:type="character" w:customStyle="1" w:styleId="42">
    <w:name w:val="font61"/>
    <w:qFormat/>
    <w:uiPriority w:val="0"/>
    <w:rPr>
      <w:rFonts w:ascii="宋体" w:hAnsi="宋体" w:eastAsia="宋体" w:cs="宋体"/>
      <w:color w:val="000000"/>
      <w:sz w:val="18"/>
      <w:szCs w:val="18"/>
      <w:u w:val="none"/>
    </w:rPr>
  </w:style>
  <w:style w:type="paragraph" w:customStyle="1" w:styleId="43">
    <w:name w:val="Char"/>
    <w:basedOn w:val="1"/>
    <w:qFormat/>
    <w:uiPriority w:val="0"/>
    <w:pPr>
      <w:tabs>
        <w:tab w:val="left" w:pos="0"/>
      </w:tabs>
    </w:pPr>
  </w:style>
  <w:style w:type="paragraph" w:customStyle="1" w:styleId="44">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5">
    <w:name w:val="_Style 33"/>
    <w:basedOn w:val="1"/>
    <w:qFormat/>
    <w:uiPriority w:val="0"/>
    <w:pPr>
      <w:spacing w:line="360" w:lineRule="auto"/>
      <w:ind w:firstLine="200" w:firstLineChars="200"/>
    </w:pPr>
    <w:rPr>
      <w:rFonts w:ascii="宋体" w:hAnsi="宋体" w:cs="宋体"/>
      <w:sz w:val="24"/>
      <w:szCs w:val="20"/>
    </w:rPr>
  </w:style>
  <w:style w:type="paragraph" w:customStyle="1" w:styleId="46">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7">
    <w:name w:val="List Paragraph"/>
    <w:basedOn w:val="1"/>
    <w:qFormat/>
    <w:uiPriority w:val="34"/>
    <w:pPr>
      <w:ind w:firstLine="420" w:firstLineChars="200"/>
    </w:pPr>
  </w:style>
  <w:style w:type="paragraph" w:customStyle="1" w:styleId="48">
    <w:name w:val="Char Char Char Char Char Char Char"/>
    <w:basedOn w:val="1"/>
    <w:qFormat/>
    <w:uiPriority w:val="0"/>
  </w:style>
  <w:style w:type="paragraph" w:customStyle="1" w:styleId="49">
    <w:name w:val="Char1"/>
    <w:basedOn w:val="1"/>
    <w:qFormat/>
    <w:uiPriority w:val="0"/>
  </w:style>
  <w:style w:type="paragraph" w:customStyle="1" w:styleId="50">
    <w:name w:val="列出段落1"/>
    <w:basedOn w:val="1"/>
    <w:qFormat/>
    <w:uiPriority w:val="0"/>
    <w:pPr>
      <w:ind w:firstLine="420" w:firstLineChars="200"/>
    </w:pPr>
    <w:rPr>
      <w:rFonts w:ascii="Calibri" w:hAnsi="Calibri"/>
      <w:szCs w:val="22"/>
    </w:rPr>
  </w:style>
  <w:style w:type="character" w:customStyle="1" w:styleId="51">
    <w:name w:val="apple-converted-space"/>
    <w:qFormat/>
    <w:uiPriority w:val="0"/>
    <w:rPr>
      <w:rFonts w:cs="Times New Roman"/>
    </w:rPr>
  </w:style>
  <w:style w:type="character" w:customStyle="1" w:styleId="52">
    <w:name w:val="NormalCharacter"/>
    <w:semiHidden/>
    <w:qFormat/>
    <w:uiPriority w:val="0"/>
  </w:style>
  <w:style w:type="paragraph" w:customStyle="1" w:styleId="53">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4">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5">
    <w:name w:val="p0"/>
    <w:basedOn w:val="1"/>
    <w:qFormat/>
    <w:uiPriority w:val="0"/>
    <w:pPr>
      <w:widowControl/>
      <w:spacing w:line="365" w:lineRule="atLeast"/>
      <w:ind w:left="1"/>
    </w:pPr>
    <w:rPr>
      <w:rFonts w:ascii="Calibri" w:hAnsi="Calibri"/>
      <w:kern w:val="0"/>
      <w:sz w:val="20"/>
      <w:szCs w:val="20"/>
    </w:rPr>
  </w:style>
  <w:style w:type="character" w:customStyle="1" w:styleId="56">
    <w:name w:val="font11"/>
    <w:qFormat/>
    <w:uiPriority w:val="0"/>
    <w:rPr>
      <w:rFonts w:hint="eastAsia" w:ascii="仿宋_GB2312" w:eastAsia="仿宋_GB2312" w:cs="仿宋_GB2312"/>
      <w:color w:val="000000"/>
      <w:sz w:val="24"/>
      <w:szCs w:val="24"/>
      <w:u w:val="none"/>
      <w:vertAlign w:val="superscript"/>
    </w:rPr>
  </w:style>
  <w:style w:type="character" w:customStyle="1" w:styleId="57">
    <w:name w:val="font41"/>
    <w:qFormat/>
    <w:uiPriority w:val="0"/>
    <w:rPr>
      <w:rFonts w:hint="eastAsia" w:ascii="宋体" w:hAnsi="宋体" w:eastAsia="宋体" w:cs="宋体"/>
      <w:color w:val="000000"/>
      <w:sz w:val="24"/>
      <w:szCs w:val="24"/>
      <w:u w:val="none"/>
    </w:rPr>
  </w:style>
  <w:style w:type="character" w:customStyle="1" w:styleId="58">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9">
    <w:name w:val="font31"/>
    <w:qFormat/>
    <w:uiPriority w:val="0"/>
    <w:rPr>
      <w:rFonts w:hint="eastAsia" w:ascii="仿宋_GB2312" w:eastAsia="仿宋_GB2312" w:cs="仿宋_GB2312"/>
      <w:color w:val="000000"/>
      <w:sz w:val="24"/>
      <w:szCs w:val="24"/>
      <w:u w:val="none"/>
    </w:rPr>
  </w:style>
  <w:style w:type="character" w:customStyle="1" w:styleId="60">
    <w:name w:val="Char Char1"/>
    <w:qFormat/>
    <w:uiPriority w:val="0"/>
    <w:rPr>
      <w:sz w:val="18"/>
      <w:szCs w:val="18"/>
    </w:rPr>
  </w:style>
  <w:style w:type="character" w:customStyle="1" w:styleId="61">
    <w:name w:val="页脚 Char"/>
    <w:basedOn w:val="19"/>
    <w:qFormat/>
    <w:uiPriority w:val="99"/>
    <w:rPr>
      <w:sz w:val="18"/>
      <w:szCs w:val="18"/>
    </w:rPr>
  </w:style>
  <w:style w:type="paragraph" w:customStyle="1" w:styleId="62">
    <w:name w:val="Char2"/>
    <w:basedOn w:val="1"/>
    <w:qFormat/>
    <w:uiPriority w:val="0"/>
    <w:pPr>
      <w:tabs>
        <w:tab w:val="left" w:pos="0"/>
      </w:tabs>
    </w:pPr>
  </w:style>
  <w:style w:type="paragraph" w:customStyle="1" w:styleId="63">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4">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5">
    <w:name w:val="Header Char"/>
    <w:basedOn w:val="19"/>
    <w:qFormat/>
    <w:locked/>
    <w:uiPriority w:val="0"/>
    <w:rPr>
      <w:rFonts w:cs="Times New Roman"/>
      <w:sz w:val="18"/>
      <w:szCs w:val="18"/>
    </w:rPr>
  </w:style>
  <w:style w:type="paragraph" w:customStyle="1" w:styleId="66">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7">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8">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9">
    <w:name w:val="表内文字1"/>
    <w:basedOn w:val="1"/>
    <w:qFormat/>
    <w:uiPriority w:val="0"/>
    <w:pPr>
      <w:adjustRightInd w:val="0"/>
      <w:snapToGrid w:val="0"/>
      <w:jc w:val="center"/>
    </w:pPr>
    <w:rPr>
      <w:snapToGrid w:val="0"/>
      <w:kern w:val="0"/>
      <w:szCs w:val="20"/>
    </w:rPr>
  </w:style>
  <w:style w:type="character" w:customStyle="1" w:styleId="70">
    <w:name w:val="15"/>
    <w:qFormat/>
    <w:uiPriority w:val="0"/>
    <w:rPr>
      <w:rFonts w:hint="default" w:ascii="Times New Roman" w:hAnsi="Times New Roman" w:eastAsia="宋体" w:cs="Times New Roman"/>
      <w:color w:val="0000FF"/>
      <w:u w:val="single"/>
    </w:rPr>
  </w:style>
  <w:style w:type="paragraph" w:customStyle="1" w:styleId="71">
    <w:name w:val="正文（公文）"/>
    <w:basedOn w:val="1"/>
    <w:qFormat/>
    <w:uiPriority w:val="0"/>
    <w:pPr>
      <w:spacing w:line="580" w:lineRule="exact"/>
      <w:ind w:firstLine="420"/>
    </w:pPr>
    <w:rPr>
      <w:rFonts w:ascii="Calibri" w:hAnsi="Calibri" w:eastAsia="方正仿宋_GBK"/>
      <w:sz w:val="32"/>
    </w:rPr>
  </w:style>
  <w:style w:type="paragraph" w:customStyle="1" w:styleId="72">
    <w:name w:val="Char Char2"/>
    <w:basedOn w:val="1"/>
    <w:qFormat/>
    <w:uiPriority w:val="0"/>
    <w:pPr>
      <w:tabs>
        <w:tab w:val="left" w:pos="0"/>
      </w:tabs>
    </w:pPr>
  </w:style>
  <w:style w:type="paragraph" w:customStyle="1" w:styleId="73">
    <w:name w:val="文华表正文"/>
    <w:basedOn w:val="74"/>
    <w:qFormat/>
    <w:uiPriority w:val="0"/>
    <w:pPr>
      <w:ind w:firstLine="480"/>
    </w:pPr>
    <w:rPr>
      <w:rFonts w:hAnsi="宋体"/>
    </w:rPr>
  </w:style>
  <w:style w:type="paragraph" w:customStyle="1" w:styleId="74">
    <w:name w:val="报告表正文"/>
    <w:basedOn w:val="1"/>
    <w:qFormat/>
    <w:uiPriority w:val="0"/>
    <w:pPr>
      <w:spacing w:line="360" w:lineRule="auto"/>
      <w:ind w:firstLine="200" w:firstLineChars="200"/>
    </w:pPr>
    <w:rPr>
      <w:sz w:val="24"/>
    </w:rPr>
  </w:style>
  <w:style w:type="table" w:customStyle="1" w:styleId="75">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6">
    <w:name w:val="批注框文本 Char"/>
    <w:basedOn w:val="19"/>
    <w:link w:val="11"/>
    <w:qFormat/>
    <w:uiPriority w:val="0"/>
    <w:rPr>
      <w:kern w:val="2"/>
      <w:sz w:val="18"/>
      <w:szCs w:val="18"/>
    </w:rPr>
  </w:style>
  <w:style w:type="character" w:customStyle="1" w:styleId="77">
    <w:name w:val="正文文本缩进 Char"/>
    <w:basedOn w:val="19"/>
    <w:link w:val="8"/>
    <w:uiPriority w:val="0"/>
    <w:rPr>
      <w:kern w:val="2"/>
      <w:sz w:val="21"/>
      <w:szCs w:val="24"/>
    </w:rPr>
  </w:style>
  <w:style w:type="character" w:customStyle="1" w:styleId="78">
    <w:name w:val="正文首行缩进 2 Char"/>
    <w:basedOn w:val="77"/>
    <w:link w:val="16"/>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10</Pages>
  <Words>722</Words>
  <Characters>4117</Characters>
  <Lines>34</Lines>
  <Paragraphs>9</Paragraphs>
  <TotalTime>22</TotalTime>
  <ScaleCrop>false</ScaleCrop>
  <LinksUpToDate>false</LinksUpToDate>
  <CharactersWithSpaces>4830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2025-09-09T06:50:00Z</dcterms:created>
  <dc:creator>雨林木风</dc:creator>
  <cp:lastModifiedBy>市生态环境局发文员</cp:lastModifiedBy>
  <cp:lastPrinted>2025-09-09T06:55:00Z</cp:lastPrinted>
  <dcterms:modified xsi:type="dcterms:W3CDTF">2025-10-21T07:34:12Z</dcterms:modified>
  <dc:title>黄环〔2011〕8号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