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0" w:beforeLines="1000" w:after="624" w:afterLines="200" w:line="560" w:lineRule="exact"/>
        <w:ind w:right="-334" w:rightChars="-159"/>
        <w:jc w:val="center"/>
        <w:rPr>
          <w:rFonts w:eastAsia="方正小标宋_GBK"/>
          <w:color w:val="000000" w:themeColor="text1"/>
          <w:sz w:val="44"/>
          <w:szCs w:val="44"/>
        </w:rPr>
      </w:pPr>
      <w:r>
        <w:rPr>
          <w:rFonts w:eastAsia="仿宋_GB2312"/>
          <w:color w:val="000000" w:themeColor="text1"/>
          <w:sz w:val="32"/>
          <w:szCs w:val="32"/>
        </w:rPr>
        <w:t>黄环建函〔2025〕1</w:t>
      </w:r>
      <w:r>
        <w:rPr>
          <w:rFonts w:hint="eastAsia" w:eastAsia="仿宋_GB2312"/>
          <w:color w:val="000000" w:themeColor="text1"/>
          <w:sz w:val="32"/>
          <w:szCs w:val="32"/>
        </w:rPr>
        <w:t>9</w:t>
      </w:r>
      <w:r>
        <w:rPr>
          <w:rFonts w:eastAsia="仿宋_GB2312"/>
          <w:color w:val="000000" w:themeColor="text1"/>
          <w:sz w:val="32"/>
          <w:szCs w:val="32"/>
        </w:rPr>
        <w:t>号</w:t>
      </w:r>
    </w:p>
    <w:p>
      <w:pPr>
        <w:spacing w:line="540" w:lineRule="exact"/>
        <w:jc w:val="center"/>
        <w:rPr>
          <w:rFonts w:eastAsia="方正小标宋简体"/>
          <w:color w:val="000000"/>
          <w:sz w:val="44"/>
          <w:szCs w:val="44"/>
        </w:rPr>
      </w:pPr>
      <w:r>
        <w:rPr>
          <w:rFonts w:eastAsia="方正小标宋简体"/>
          <w:color w:val="000000"/>
          <w:sz w:val="44"/>
          <w:szCs w:val="44"/>
        </w:rPr>
        <w:t>关于安徽祁门经济开发区管理委员会安徽祁门经济开发区污水处理厂新扩建工程</w:t>
      </w:r>
    </w:p>
    <w:p>
      <w:pPr>
        <w:spacing w:line="540" w:lineRule="exact"/>
        <w:jc w:val="center"/>
        <w:rPr>
          <w:rFonts w:eastAsia="方正小标宋简体"/>
          <w:color w:val="000000"/>
          <w:sz w:val="44"/>
          <w:szCs w:val="44"/>
        </w:rPr>
      </w:pPr>
      <w:r>
        <w:rPr>
          <w:rFonts w:eastAsia="方正小标宋简体"/>
          <w:color w:val="000000"/>
          <w:sz w:val="44"/>
          <w:szCs w:val="44"/>
        </w:rPr>
        <w:t>（一期）环境影响报告</w:t>
      </w:r>
      <w:r>
        <w:rPr>
          <w:rFonts w:hint="eastAsia" w:eastAsia="方正小标宋简体"/>
          <w:color w:val="000000"/>
          <w:sz w:val="44"/>
          <w:szCs w:val="44"/>
        </w:rPr>
        <w:t>书</w:t>
      </w:r>
      <w:r>
        <w:rPr>
          <w:rFonts w:eastAsia="方正小标宋简体"/>
          <w:color w:val="000000"/>
          <w:sz w:val="44"/>
          <w:szCs w:val="44"/>
        </w:rPr>
        <w:t>的批复</w:t>
      </w:r>
    </w:p>
    <w:p>
      <w:pPr>
        <w:spacing w:line="540" w:lineRule="exact"/>
        <w:ind w:firstLine="480" w:firstLineChars="200"/>
        <w:rPr>
          <w:color w:val="000000"/>
          <w:kern w:val="0"/>
          <w:sz w:val="24"/>
          <w:szCs w:val="20"/>
        </w:rPr>
      </w:pPr>
    </w:p>
    <w:p>
      <w:pPr>
        <w:spacing w:line="540" w:lineRule="exact"/>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安徽祁门经济开发区管理委员会：</w:t>
      </w:r>
      <w:r>
        <w:rPr>
          <w:rFonts w:hint="eastAsia" w:ascii="仿宋_GB2312" w:hAnsi="仿宋_GB2312" w:eastAsia="仿宋_GB2312" w:cs="仿宋_GB2312"/>
          <w:color w:val="000000"/>
          <w:sz w:val="32"/>
          <w:szCs w:val="32"/>
          <w:lang w:val="zh-CN"/>
        </w:rPr>
        <w:tab/>
      </w:r>
    </w:p>
    <w:p>
      <w:pPr>
        <w:snapToGrid w:val="0"/>
        <w:spacing w:line="540" w:lineRule="exact"/>
        <w:ind w:firstLine="640" w:firstLineChars="200"/>
        <w:rPr>
          <w:rFonts w:hint="eastAsia" w:eastAsia="仿宋_GB2312"/>
          <w:color w:val="000000"/>
          <w:sz w:val="32"/>
          <w:szCs w:val="32"/>
          <w:lang w:val="zh-CN"/>
        </w:rPr>
      </w:pPr>
      <w:r>
        <w:rPr>
          <w:rFonts w:hint="eastAsia" w:eastAsia="仿宋_GB2312"/>
          <w:color w:val="000000"/>
          <w:sz w:val="32"/>
          <w:szCs w:val="32"/>
          <w:lang w:val="zh-CN"/>
        </w:rPr>
        <w:t>你</w:t>
      </w:r>
      <w:r>
        <w:rPr>
          <w:rFonts w:hint="eastAsia" w:eastAsia="仿宋_GB2312"/>
          <w:color w:val="000000"/>
          <w:sz w:val="32"/>
          <w:szCs w:val="32"/>
        </w:rPr>
        <w:t>单位</w:t>
      </w:r>
      <w:r>
        <w:rPr>
          <w:rFonts w:hint="eastAsia" w:eastAsia="仿宋_GB2312"/>
          <w:color w:val="000000"/>
          <w:sz w:val="32"/>
          <w:szCs w:val="32"/>
          <w:lang w:val="zh-CN"/>
        </w:rPr>
        <w:t>报来安徽祁门经济开发区污水处理厂新扩建工程（一期）《行政许可申请书》和</w:t>
      </w:r>
      <w:r>
        <w:rPr>
          <w:rFonts w:hint="eastAsia" w:eastAsia="仿宋_GB2312"/>
          <w:color w:val="000000"/>
          <w:sz w:val="32"/>
          <w:szCs w:val="32"/>
        </w:rPr>
        <w:t>黄山星源环境咨询有限公司</w:t>
      </w:r>
      <w:r>
        <w:rPr>
          <w:rFonts w:hint="eastAsia" w:eastAsia="仿宋_GB2312"/>
          <w:color w:val="000000"/>
          <w:sz w:val="32"/>
          <w:szCs w:val="32"/>
          <w:lang w:val="zh-CN"/>
        </w:rPr>
        <w:t>编制的《安徽祁门经济开发区污水处理厂新扩建工程（一期）环境影响报告</w:t>
      </w:r>
      <w:r>
        <w:rPr>
          <w:rFonts w:hint="eastAsia" w:eastAsia="仿宋_GB2312"/>
          <w:color w:val="000000"/>
          <w:sz w:val="32"/>
          <w:szCs w:val="32"/>
        </w:rPr>
        <w:t>书</w:t>
      </w:r>
      <w:r>
        <w:rPr>
          <w:rFonts w:hint="eastAsia" w:eastAsia="仿宋_GB2312"/>
          <w:color w:val="000000"/>
          <w:sz w:val="32"/>
          <w:szCs w:val="32"/>
          <w:lang w:val="zh-CN"/>
        </w:rPr>
        <w:t>》（以下简称《报告</w:t>
      </w:r>
      <w:r>
        <w:rPr>
          <w:rFonts w:hint="eastAsia" w:eastAsia="仿宋_GB2312"/>
          <w:color w:val="000000"/>
          <w:sz w:val="32"/>
          <w:szCs w:val="32"/>
        </w:rPr>
        <w:t>书</w:t>
      </w:r>
      <w:r>
        <w:rPr>
          <w:rFonts w:hint="eastAsia" w:eastAsia="仿宋_GB2312"/>
          <w:color w:val="000000"/>
          <w:sz w:val="32"/>
          <w:szCs w:val="32"/>
          <w:lang w:val="zh-CN"/>
        </w:rPr>
        <w:t>》）悉。经组织专家</w:t>
      </w:r>
      <w:r>
        <w:rPr>
          <w:rFonts w:hint="eastAsia" w:eastAsia="仿宋_GB2312"/>
          <w:color w:val="000000"/>
          <w:sz w:val="32"/>
          <w:szCs w:val="32"/>
        </w:rPr>
        <w:t>评</w:t>
      </w:r>
      <w:r>
        <w:rPr>
          <w:rFonts w:hint="eastAsia" w:eastAsia="仿宋_GB2312"/>
          <w:color w:val="000000"/>
          <w:sz w:val="32"/>
          <w:szCs w:val="32"/>
          <w:lang w:val="zh-CN"/>
        </w:rPr>
        <w:t>审，并在黄山市生态环境局网站公示，公众无异议。经研究，现对《报告</w:t>
      </w:r>
      <w:r>
        <w:rPr>
          <w:rFonts w:hint="eastAsia" w:eastAsia="仿宋_GB2312"/>
          <w:color w:val="000000"/>
          <w:sz w:val="32"/>
          <w:szCs w:val="32"/>
        </w:rPr>
        <w:t>书</w:t>
      </w:r>
      <w:r>
        <w:rPr>
          <w:rFonts w:hint="eastAsia" w:eastAsia="仿宋_GB2312"/>
          <w:color w:val="000000"/>
          <w:sz w:val="32"/>
          <w:szCs w:val="32"/>
          <w:lang w:val="zh-CN"/>
        </w:rPr>
        <w:t>》批复如下：</w:t>
      </w:r>
    </w:p>
    <w:p>
      <w:pPr>
        <w:snapToGrid w:val="0"/>
        <w:spacing w:line="540" w:lineRule="exact"/>
        <w:ind w:firstLine="640" w:firstLineChars="200"/>
        <w:rPr>
          <w:rFonts w:hint="eastAsia" w:eastAsia="仿宋_GB2312"/>
          <w:color w:val="000000"/>
          <w:sz w:val="32"/>
          <w:szCs w:val="32"/>
        </w:rPr>
      </w:pPr>
      <w:r>
        <w:rPr>
          <w:rFonts w:hint="eastAsia" w:eastAsia="仿宋_GB2312"/>
          <w:color w:val="000000"/>
          <w:sz w:val="32"/>
          <w:szCs w:val="32"/>
          <w:lang w:val="zh-CN"/>
        </w:rPr>
        <w:t>一、项目拟</w:t>
      </w:r>
      <w:r>
        <w:rPr>
          <w:rFonts w:hint="eastAsia" w:eastAsia="仿宋_GB2312"/>
          <w:color w:val="000000"/>
          <w:sz w:val="32"/>
          <w:szCs w:val="32"/>
        </w:rPr>
        <w:t>在安徽祁门经济开发区污水处理厂现有厂区南侧地块建设</w:t>
      </w:r>
      <w:r>
        <w:rPr>
          <w:rFonts w:hint="eastAsia" w:eastAsia="仿宋_GB2312"/>
          <w:color w:val="000000"/>
          <w:sz w:val="32"/>
          <w:szCs w:val="32"/>
          <w:lang w:val="zh-CN"/>
        </w:rPr>
        <w:t>（东经117度45分38</w:t>
      </w:r>
      <w:r>
        <w:rPr>
          <w:rFonts w:hint="eastAsia" w:eastAsia="仿宋_GB2312"/>
          <w:color w:val="000000"/>
          <w:sz w:val="32"/>
          <w:szCs w:val="32"/>
        </w:rPr>
        <w:t>.820</w:t>
      </w:r>
      <w:r>
        <w:rPr>
          <w:rFonts w:hint="eastAsia" w:eastAsia="仿宋_GB2312"/>
          <w:color w:val="000000"/>
          <w:sz w:val="32"/>
          <w:szCs w:val="32"/>
          <w:lang w:val="zh-CN"/>
        </w:rPr>
        <w:t>秒</w:t>
      </w:r>
      <w:r>
        <w:rPr>
          <w:rFonts w:hint="eastAsia" w:eastAsia="仿宋_GB2312"/>
          <w:color w:val="000000"/>
          <w:sz w:val="32"/>
          <w:szCs w:val="32"/>
        </w:rPr>
        <w:t>，</w:t>
      </w:r>
      <w:r>
        <w:rPr>
          <w:rFonts w:hint="eastAsia" w:eastAsia="仿宋_GB2312"/>
          <w:color w:val="000000"/>
          <w:sz w:val="32"/>
          <w:szCs w:val="32"/>
          <w:lang w:val="zh-CN"/>
        </w:rPr>
        <w:t>北纬29度51分10</w:t>
      </w:r>
      <w:r>
        <w:rPr>
          <w:rFonts w:hint="eastAsia" w:eastAsia="仿宋_GB2312"/>
          <w:color w:val="000000"/>
          <w:sz w:val="32"/>
          <w:szCs w:val="32"/>
        </w:rPr>
        <w:t>.300</w:t>
      </w:r>
      <w:r>
        <w:rPr>
          <w:rFonts w:hint="eastAsia" w:eastAsia="仿宋_GB2312"/>
          <w:color w:val="000000"/>
          <w:sz w:val="32"/>
          <w:szCs w:val="32"/>
          <w:lang w:val="zh-CN"/>
        </w:rPr>
        <w:t>秒），</w:t>
      </w:r>
      <w:r>
        <w:rPr>
          <w:rFonts w:hint="eastAsia" w:eastAsia="仿宋_GB2312"/>
          <w:color w:val="000000"/>
          <w:sz w:val="32"/>
          <w:szCs w:val="32"/>
        </w:rPr>
        <w:t>占地面积11513.86m</w:t>
      </w:r>
      <w:r>
        <w:rPr>
          <w:rFonts w:hint="eastAsia" w:eastAsia="仿宋_GB2312"/>
          <w:color w:val="000000"/>
          <w:sz w:val="32"/>
          <w:szCs w:val="32"/>
          <w:vertAlign w:val="superscript"/>
        </w:rPr>
        <w:t>2</w:t>
      </w:r>
      <w:r>
        <w:rPr>
          <w:rFonts w:hint="eastAsia" w:eastAsia="仿宋_GB2312"/>
          <w:color w:val="000000"/>
          <w:sz w:val="32"/>
          <w:szCs w:val="32"/>
        </w:rPr>
        <w:t>，建筑面积5048.71m</w:t>
      </w:r>
      <w:r>
        <w:rPr>
          <w:rFonts w:hint="eastAsia" w:eastAsia="仿宋_GB2312"/>
          <w:color w:val="000000"/>
          <w:sz w:val="32"/>
          <w:szCs w:val="32"/>
          <w:vertAlign w:val="superscript"/>
        </w:rPr>
        <w:t>2</w:t>
      </w:r>
      <w:r>
        <w:rPr>
          <w:rFonts w:hint="eastAsia" w:eastAsia="仿宋_GB2312"/>
          <w:color w:val="000000"/>
          <w:sz w:val="32"/>
          <w:szCs w:val="32"/>
        </w:rPr>
        <w:t>，总投资</w:t>
      </w:r>
      <w:r>
        <w:rPr>
          <w:rFonts w:eastAsia="仿宋_GB2312"/>
          <w:color w:val="000000"/>
          <w:sz w:val="32"/>
          <w:szCs w:val="32"/>
        </w:rPr>
        <w:t>1.39亿元</w:t>
      </w:r>
      <w:r>
        <w:rPr>
          <w:rFonts w:hint="eastAsia" w:eastAsia="仿宋_GB2312"/>
          <w:color w:val="000000"/>
          <w:sz w:val="32"/>
          <w:szCs w:val="32"/>
        </w:rPr>
        <w:t>，全部为环保投资。项目建设格栅池、调节池、事故池、提升泵房、混凝沉淀（磁微滤）、水解酸化池、改良型AAO一体化池、气浮池、反硝化深床滤池、接触消毒池、污泥脱水机房、加药间、仪表间、综合楼等建（构）筑物，新增预处理和生化处理工艺段规模5000m</w:t>
      </w:r>
      <w:r>
        <w:rPr>
          <w:rFonts w:hint="eastAsia" w:eastAsia="仿宋_GB2312"/>
          <w:color w:val="000000"/>
          <w:sz w:val="32"/>
          <w:szCs w:val="32"/>
          <w:vertAlign w:val="superscript"/>
        </w:rPr>
        <w:t>3</w:t>
      </w:r>
      <w:r>
        <w:rPr>
          <w:rFonts w:hint="eastAsia" w:eastAsia="仿宋_GB2312"/>
          <w:color w:val="000000"/>
          <w:sz w:val="32"/>
          <w:szCs w:val="32"/>
        </w:rPr>
        <w:t>/d，深度处理工艺段规模8000m</w:t>
      </w:r>
      <w:r>
        <w:rPr>
          <w:rFonts w:hint="eastAsia" w:eastAsia="仿宋_GB2312"/>
          <w:color w:val="000000"/>
          <w:sz w:val="32"/>
          <w:szCs w:val="32"/>
          <w:vertAlign w:val="superscript"/>
        </w:rPr>
        <w:t>3</w:t>
      </w:r>
      <w:r>
        <w:rPr>
          <w:rFonts w:hint="eastAsia" w:eastAsia="仿宋_GB2312"/>
          <w:color w:val="000000"/>
          <w:sz w:val="32"/>
          <w:szCs w:val="32"/>
        </w:rPr>
        <w:t>/d，配套建设相应的环保设施、环境风险防范设施以及公用、辅助、储运设施等。项目建成后，全厂处理规模8000m</w:t>
      </w:r>
      <w:r>
        <w:rPr>
          <w:rFonts w:hint="eastAsia" w:eastAsia="仿宋_GB2312"/>
          <w:color w:val="000000"/>
          <w:sz w:val="32"/>
          <w:szCs w:val="32"/>
          <w:vertAlign w:val="superscript"/>
        </w:rPr>
        <w:t>3</w:t>
      </w:r>
      <w:r>
        <w:rPr>
          <w:rFonts w:hint="eastAsia" w:eastAsia="仿宋_GB2312"/>
          <w:color w:val="000000"/>
          <w:sz w:val="32"/>
          <w:szCs w:val="32"/>
        </w:rPr>
        <w:t>/d。</w:t>
      </w:r>
    </w:p>
    <w:p>
      <w:pPr>
        <w:snapToGrid w:val="0"/>
        <w:spacing w:line="540" w:lineRule="exact"/>
        <w:ind w:firstLine="640" w:firstLineChars="200"/>
        <w:rPr>
          <w:rFonts w:eastAsia="仿宋_GB2312"/>
          <w:color w:val="000000"/>
          <w:sz w:val="32"/>
          <w:szCs w:val="32"/>
          <w:lang w:val="zh-CN"/>
        </w:rPr>
      </w:pPr>
      <w:r>
        <w:rPr>
          <w:rFonts w:hint="eastAsia" w:eastAsia="仿宋_GB2312"/>
          <w:color w:val="000000"/>
          <w:sz w:val="32"/>
          <w:szCs w:val="32"/>
        </w:rPr>
        <w:t>二、</w:t>
      </w:r>
      <w:r>
        <w:rPr>
          <w:rFonts w:eastAsia="仿宋_GB2312"/>
          <w:color w:val="000000"/>
          <w:sz w:val="32"/>
          <w:szCs w:val="32"/>
          <w:lang w:val="zh-CN"/>
        </w:rPr>
        <w:t>从生态环境保护角度，我局同意你</w:t>
      </w:r>
      <w:r>
        <w:rPr>
          <w:rFonts w:hint="eastAsia" w:eastAsia="仿宋_GB2312"/>
          <w:color w:val="000000"/>
          <w:sz w:val="32"/>
          <w:szCs w:val="32"/>
          <w:lang w:val="zh-CN"/>
        </w:rPr>
        <w:t>单位</w:t>
      </w:r>
      <w:r>
        <w:rPr>
          <w:rFonts w:eastAsia="仿宋_GB2312"/>
          <w:color w:val="000000"/>
          <w:sz w:val="32"/>
          <w:szCs w:val="32"/>
          <w:lang w:val="zh-CN"/>
        </w:rPr>
        <w:t>按《报告</w:t>
      </w:r>
      <w:r>
        <w:rPr>
          <w:rFonts w:hint="eastAsia" w:eastAsia="仿宋_GB2312"/>
          <w:color w:val="000000"/>
          <w:sz w:val="32"/>
          <w:szCs w:val="32"/>
        </w:rPr>
        <w:t>书</w:t>
      </w:r>
      <w:r>
        <w:rPr>
          <w:rFonts w:eastAsia="仿宋_GB2312"/>
          <w:color w:val="000000"/>
          <w:sz w:val="32"/>
          <w:szCs w:val="32"/>
          <w:lang w:val="zh-CN"/>
        </w:rPr>
        <w:t>》所列建设项目的性质、规模、地点、采用的生产工艺和拟采取的各项环境保护措施进行建设，并重点做好以下工作：</w:t>
      </w:r>
    </w:p>
    <w:p>
      <w:pPr>
        <w:spacing w:line="540" w:lineRule="exact"/>
        <w:ind w:firstLine="640" w:firstLineChars="200"/>
        <w:rPr>
          <w:rFonts w:eastAsia="仿宋_GB2312"/>
          <w:color w:val="000000"/>
          <w:sz w:val="32"/>
          <w:szCs w:val="32"/>
        </w:rPr>
      </w:pPr>
      <w:r>
        <w:rPr>
          <w:rFonts w:hint="eastAsia" w:eastAsia="仿宋_GB2312"/>
          <w:color w:val="000000"/>
          <w:sz w:val="32"/>
          <w:szCs w:val="32"/>
        </w:rPr>
        <w:t>1、切实落实水产种质资源保护区措施。项目应严格按照《安徽省农业农村厅关于安徽祁门经济开发区污水处理厂新扩建工程(一期)对阊江特有鱼类国家级水产种质资源保护区影响专题论证报告的审查意见（皖农渔函〔2024〕1019号）要求，落实水生生物增殖放流、水环境及沉积物重金属评估、水生生物资源评估、栖息生境修复及水生生物科普宣传等措施，最大限度减小项目对祁门县阊江特有鱼类国家级水产种质资源保护区的影响。</w:t>
      </w:r>
    </w:p>
    <w:p>
      <w:pPr>
        <w:spacing w:line="540" w:lineRule="exact"/>
        <w:ind w:firstLine="640" w:firstLineChars="200"/>
        <w:rPr>
          <w:rFonts w:eastAsia="仿宋_GB2312"/>
          <w:color w:val="000000"/>
          <w:sz w:val="32"/>
          <w:szCs w:val="32"/>
          <w:lang w:val="zh-CN"/>
        </w:rPr>
      </w:pPr>
      <w:r>
        <w:rPr>
          <w:rFonts w:hint="eastAsia" w:eastAsia="仿宋_GB2312"/>
          <w:color w:val="000000"/>
          <w:sz w:val="32"/>
          <w:szCs w:val="32"/>
        </w:rPr>
        <w:t>2</w:t>
      </w:r>
      <w:r>
        <w:rPr>
          <w:rFonts w:eastAsia="仿宋_GB2312"/>
          <w:color w:val="000000"/>
          <w:sz w:val="32"/>
          <w:szCs w:val="32"/>
          <w:lang w:val="zh-CN"/>
        </w:rPr>
        <w:t>、项目应按照“以新带老”的原则，对</w:t>
      </w:r>
      <w:r>
        <w:rPr>
          <w:rFonts w:hint="eastAsia" w:eastAsia="仿宋_GB2312"/>
          <w:color w:val="000000"/>
          <w:sz w:val="32"/>
          <w:szCs w:val="32"/>
        </w:rPr>
        <w:t>现有</w:t>
      </w:r>
      <w:r>
        <w:rPr>
          <w:rFonts w:eastAsia="仿宋_GB2312"/>
          <w:color w:val="000000"/>
          <w:sz w:val="32"/>
          <w:szCs w:val="32"/>
          <w:lang w:val="zh-CN"/>
        </w:rPr>
        <w:t>厂区所有已建内容进行排查，对存在的环境问题和《报告书》中明确的现有工程存在环境问题进行整改达到现行环境管理要求，并纳入本项目验收范围。</w:t>
      </w:r>
    </w:p>
    <w:p>
      <w:pPr>
        <w:widowControl/>
        <w:spacing w:line="540" w:lineRule="exact"/>
        <w:ind w:firstLine="640" w:firstLineChars="200"/>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落实</w:t>
      </w:r>
      <w:r>
        <w:rPr>
          <w:rFonts w:hint="eastAsia" w:eastAsia="仿宋_GB2312"/>
          <w:color w:val="000000"/>
          <w:sz w:val="32"/>
          <w:szCs w:val="32"/>
        </w:rPr>
        <w:t>废水污染防治措施</w:t>
      </w:r>
      <w:r>
        <w:rPr>
          <w:rFonts w:eastAsia="仿宋_GB2312"/>
          <w:color w:val="000000"/>
          <w:sz w:val="32"/>
          <w:szCs w:val="32"/>
        </w:rPr>
        <w:t>。</w:t>
      </w:r>
      <w:r>
        <w:rPr>
          <w:rFonts w:hint="eastAsia" w:eastAsia="仿宋_GB2312"/>
          <w:color w:val="000000"/>
          <w:sz w:val="32"/>
          <w:szCs w:val="32"/>
        </w:rPr>
        <w:t>项目</w:t>
      </w:r>
      <w:r>
        <w:rPr>
          <w:rFonts w:eastAsia="仿宋_GB2312"/>
          <w:color w:val="000000"/>
          <w:sz w:val="32"/>
          <w:szCs w:val="32"/>
        </w:rPr>
        <w:t>排水</w:t>
      </w:r>
      <w:r>
        <w:rPr>
          <w:rFonts w:hint="eastAsia" w:eastAsia="仿宋_GB2312"/>
          <w:color w:val="000000"/>
          <w:sz w:val="32"/>
          <w:szCs w:val="32"/>
        </w:rPr>
        <w:t>系统</w:t>
      </w:r>
      <w:r>
        <w:rPr>
          <w:rFonts w:eastAsia="仿宋_GB2312"/>
          <w:color w:val="000000"/>
          <w:sz w:val="32"/>
          <w:szCs w:val="32"/>
        </w:rPr>
        <w:t>实行雨污分流制，对</w:t>
      </w:r>
      <w:r>
        <w:rPr>
          <w:rFonts w:hint="eastAsia" w:eastAsia="仿宋_GB2312"/>
          <w:color w:val="000000"/>
          <w:sz w:val="32"/>
          <w:szCs w:val="32"/>
        </w:rPr>
        <w:t>现有厂区</w:t>
      </w:r>
      <w:r>
        <w:rPr>
          <w:rFonts w:eastAsia="仿宋_GB2312"/>
          <w:color w:val="000000"/>
          <w:sz w:val="32"/>
          <w:szCs w:val="32"/>
        </w:rPr>
        <w:t>的雨、污水管网和应急管网系统进行全面排查，对于不符合要求及不能利用的管网，按规范要求新建，确保全厂雨污分流及应急导流管网系统的畅通</w:t>
      </w:r>
      <w:r>
        <w:rPr>
          <w:rFonts w:hint="eastAsia" w:eastAsia="仿宋_GB2312"/>
          <w:color w:val="000000"/>
          <w:sz w:val="32"/>
          <w:szCs w:val="32"/>
        </w:rPr>
        <w:t>。接纳的园区企业废水以及本企业除臭喷淋废水、设备冲洗废水、生活污水采用“预处理+生化处理+深度处理”组合工艺，部分废水利用现有厂区3000m</w:t>
      </w:r>
      <w:r>
        <w:rPr>
          <w:rFonts w:hint="eastAsia" w:eastAsia="仿宋_GB2312"/>
          <w:color w:val="000000"/>
          <w:sz w:val="32"/>
          <w:szCs w:val="32"/>
          <w:vertAlign w:val="superscript"/>
        </w:rPr>
        <w:t>3</w:t>
      </w:r>
      <w:r>
        <w:rPr>
          <w:rFonts w:hint="eastAsia" w:eastAsia="仿宋_GB2312"/>
          <w:color w:val="000000"/>
          <w:sz w:val="32"/>
          <w:szCs w:val="32"/>
        </w:rPr>
        <w:t>/d“格栅+调节池及水解酸化池+AAO生化池/SBR池+MBR膜池”处理，其余部分通过新建的5000m</w:t>
      </w:r>
      <w:r>
        <w:rPr>
          <w:rFonts w:hint="eastAsia" w:eastAsia="仿宋_GB2312"/>
          <w:color w:val="000000"/>
          <w:sz w:val="32"/>
          <w:szCs w:val="32"/>
          <w:vertAlign w:val="superscript"/>
        </w:rPr>
        <w:t>3</w:t>
      </w:r>
      <w:r>
        <w:rPr>
          <w:rFonts w:hint="eastAsia" w:eastAsia="仿宋_GB2312"/>
          <w:color w:val="000000"/>
          <w:sz w:val="32"/>
          <w:szCs w:val="32"/>
        </w:rPr>
        <w:t>/d“格栅+调节池/提升泵房+混凝沉淀池+水解酸化池+改良型AAO生化池”处理后，一并通过新建的8000m</w:t>
      </w:r>
      <w:r>
        <w:rPr>
          <w:rFonts w:hint="eastAsia" w:eastAsia="仿宋_GB2312"/>
          <w:color w:val="000000"/>
          <w:sz w:val="32"/>
          <w:szCs w:val="32"/>
          <w:vertAlign w:val="superscript"/>
        </w:rPr>
        <w:t>3</w:t>
      </w:r>
      <w:r>
        <w:rPr>
          <w:rFonts w:hint="eastAsia" w:eastAsia="仿宋_GB2312"/>
          <w:color w:val="000000"/>
          <w:sz w:val="32"/>
          <w:szCs w:val="32"/>
        </w:rPr>
        <w:t>/d“反硝化深床滤池+臭氧催化氧化塔+气浮叠合脱气池+除氟除重树脂吸附罐+紫外</w:t>
      </w:r>
      <w:r>
        <w:rPr>
          <w:rFonts w:hint="eastAsia" w:eastAsia="仿宋_GB2312"/>
          <w:color w:val="000000"/>
          <w:sz w:val="32"/>
          <w:szCs w:val="32"/>
          <w:lang w:eastAsia="zh-CN"/>
        </w:rPr>
        <w:t>线</w:t>
      </w:r>
      <w:bookmarkStart w:id="4" w:name="_GoBack"/>
      <w:bookmarkEnd w:id="4"/>
      <w:r>
        <w:rPr>
          <w:rFonts w:hint="eastAsia" w:eastAsia="仿宋_GB2312"/>
          <w:color w:val="000000"/>
          <w:sz w:val="32"/>
          <w:szCs w:val="32"/>
        </w:rPr>
        <w:t>消毒池深度处理”后经厂区总排口进入园区管网后排入金东河，废水中各项污染物指标应达到《城镇污水处理厂污染物排放标准》（GB18918-2002及其修改单）中一级A标准，且满足《黄山市生态环境局关于同意设置(扩大)安徽祁门经济开发区污水处理厂入河排污口的决定书》（黄环水函〔2025〕2号）中</w:t>
      </w:r>
      <w:r>
        <w:rPr>
          <w:rFonts w:eastAsia="仿宋_GB2312"/>
          <w:color w:val="000000"/>
          <w:sz w:val="32"/>
          <w:szCs w:val="32"/>
        </w:rPr>
        <w:t>COD、氨氮、</w:t>
      </w:r>
      <w:r>
        <w:rPr>
          <w:rFonts w:hint="eastAsia" w:eastAsia="仿宋_GB2312"/>
          <w:color w:val="000000"/>
          <w:sz w:val="32"/>
          <w:szCs w:val="32"/>
        </w:rPr>
        <w:t>总氮、</w:t>
      </w:r>
      <w:r>
        <w:rPr>
          <w:rFonts w:eastAsia="仿宋_GB2312"/>
          <w:color w:val="000000"/>
          <w:sz w:val="32"/>
          <w:szCs w:val="32"/>
        </w:rPr>
        <w:t>总磷</w:t>
      </w:r>
      <w:r>
        <w:rPr>
          <w:rFonts w:hint="eastAsia" w:eastAsia="仿宋_GB2312"/>
          <w:color w:val="000000"/>
          <w:sz w:val="32"/>
          <w:szCs w:val="32"/>
        </w:rPr>
        <w:t>、</w:t>
      </w:r>
      <w:r>
        <w:rPr>
          <w:rFonts w:eastAsia="仿宋_GB2312"/>
          <w:color w:val="000000"/>
          <w:sz w:val="32"/>
          <w:szCs w:val="32"/>
        </w:rPr>
        <w:t>铜</w:t>
      </w:r>
      <w:r>
        <w:rPr>
          <w:rFonts w:hint="eastAsia" w:eastAsia="仿宋_GB2312"/>
          <w:color w:val="000000"/>
          <w:sz w:val="32"/>
          <w:szCs w:val="32"/>
        </w:rPr>
        <w:t>、</w:t>
      </w:r>
      <w:r>
        <w:rPr>
          <w:rFonts w:eastAsia="仿宋_GB2312"/>
          <w:color w:val="000000"/>
          <w:sz w:val="32"/>
          <w:szCs w:val="32"/>
        </w:rPr>
        <w:t>镍</w:t>
      </w:r>
      <w:r>
        <w:rPr>
          <w:rFonts w:hint="eastAsia" w:eastAsia="仿宋_GB2312"/>
          <w:color w:val="000000"/>
          <w:sz w:val="32"/>
          <w:szCs w:val="32"/>
        </w:rPr>
        <w:t>、</w:t>
      </w:r>
      <w:r>
        <w:rPr>
          <w:rFonts w:eastAsia="仿宋_GB2312"/>
          <w:color w:val="000000"/>
          <w:sz w:val="32"/>
          <w:szCs w:val="32"/>
        </w:rPr>
        <w:t>氟化物排放</w:t>
      </w:r>
      <w:r>
        <w:rPr>
          <w:rFonts w:hint="eastAsia" w:eastAsia="仿宋_GB2312"/>
          <w:color w:val="000000"/>
          <w:sz w:val="32"/>
          <w:szCs w:val="32"/>
        </w:rPr>
        <w:t>浓度（排放量）分别满足30mg/L（87.6t/a）、1.5mg/L（4.38t/a）、15mg/L （43.8t/a）、0.3mg/L（0.876t/a）、0.1875mg/L（0.5475t/a）、0.01875mg/L（0.05475t/a）、1mg/L（2.92t/a）的管理要求。项目</w:t>
      </w:r>
      <w:r>
        <w:rPr>
          <w:rFonts w:eastAsia="仿宋_GB2312"/>
          <w:color w:val="000000"/>
          <w:sz w:val="32"/>
          <w:szCs w:val="32"/>
        </w:rPr>
        <w:t>按要求建设规范化排污口，安装并联网流量、pH、COD、氨氮</w:t>
      </w:r>
      <w:r>
        <w:rPr>
          <w:rFonts w:hint="eastAsia" w:eastAsia="仿宋_GB2312"/>
          <w:color w:val="000000"/>
          <w:sz w:val="32"/>
          <w:szCs w:val="32"/>
        </w:rPr>
        <w:t>、总磷、总氮</w:t>
      </w:r>
      <w:r>
        <w:rPr>
          <w:rFonts w:eastAsia="仿宋_GB2312"/>
          <w:color w:val="000000"/>
          <w:sz w:val="32"/>
          <w:szCs w:val="32"/>
        </w:rPr>
        <w:t>自动监测设备。</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4、</w:t>
      </w:r>
      <w:r>
        <w:rPr>
          <w:rFonts w:eastAsia="仿宋_GB2312"/>
          <w:color w:val="000000"/>
          <w:sz w:val="32"/>
          <w:szCs w:val="32"/>
        </w:rPr>
        <w:t>落实大气污染防治措施。</w:t>
      </w:r>
      <w:r>
        <w:rPr>
          <w:rFonts w:hint="eastAsia" w:eastAsia="仿宋_GB2312"/>
          <w:color w:val="000000"/>
          <w:sz w:val="32"/>
          <w:szCs w:val="32"/>
        </w:rPr>
        <w:t>项目应确保所在区域环境空气质量达到《环境空气质量标准》（GB 3095-2012及2018年修改单）中规定的二级浓度限值，氨、硫化氢达到《环境影响评价技术导则 大气环境》（HJ2.2-2018）附录D中的质量浓度参考限值。</w:t>
      </w:r>
      <w:bookmarkStart w:id="0" w:name="OLE_LINK160"/>
      <w:bookmarkStart w:id="1" w:name="OLE_LINK510"/>
      <w:r>
        <w:rPr>
          <w:rFonts w:hint="eastAsia" w:eastAsia="仿宋_GB2312"/>
          <w:color w:val="000000"/>
          <w:sz w:val="32"/>
          <w:szCs w:val="32"/>
        </w:rPr>
        <w:t>加强各污水、污泥处理单元及危险废物贮存间的封闭管控，废气均纳入有组织收集和处理，最大限度减少无组织逸散，加强废气治理设施运行维护，确保废气稳定达标排放。</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现有厂区格栅、调节池及水解酸化池、AAO生化池/SBR池、MBR池等污水处理池废气经池体加盖密闭负压收集，污泥脱水机房及危险废物贮存间废气经空间密闭负压收集后经“碱液吸收+水雾分离+低温等离子”除臭装置处理后通过1根15m高排气筒排放。新建厂区格栅、调节池、混凝沉淀（磁分离）池、水解酸化池、改良型AAO一体化池废气经池体加盖密闭负压收集，污泥脱水机房及危险废物贮存间废气经空间密闭负压收集后经“水洗+生物过滤”除臭装置处理后通过1根不低于15m高排气筒排放，废气按要求建设规范化排污口。</w:t>
      </w:r>
    </w:p>
    <w:bookmarkEnd w:id="0"/>
    <w:bookmarkEnd w:id="1"/>
    <w:p>
      <w:pPr>
        <w:widowControl/>
        <w:spacing w:line="540" w:lineRule="exact"/>
        <w:ind w:firstLine="640" w:firstLineChars="200"/>
        <w:rPr>
          <w:rFonts w:eastAsia="仿宋_GB2312"/>
          <w:color w:val="000000"/>
          <w:sz w:val="32"/>
          <w:szCs w:val="32"/>
        </w:rPr>
      </w:pPr>
      <w:r>
        <w:rPr>
          <w:rFonts w:hint="eastAsia" w:eastAsia="仿宋_GB2312"/>
          <w:color w:val="000000"/>
          <w:sz w:val="32"/>
          <w:szCs w:val="32"/>
        </w:rPr>
        <w:t>全厂氨、硫化氢、臭气浓度</w:t>
      </w:r>
      <w:r>
        <w:rPr>
          <w:rFonts w:eastAsia="仿宋_GB2312"/>
          <w:color w:val="000000"/>
          <w:sz w:val="32"/>
          <w:szCs w:val="32"/>
        </w:rPr>
        <w:t>有组织及厂界无组织排放应达到《恶臭污染物排放标准》（GB14554-93）表1及2中相应限值</w:t>
      </w:r>
      <w:r>
        <w:rPr>
          <w:rFonts w:hint="eastAsia" w:eastAsia="仿宋_GB2312"/>
          <w:color w:val="000000"/>
          <w:sz w:val="32"/>
          <w:szCs w:val="32"/>
        </w:rPr>
        <w:t>及管控要求</w:t>
      </w:r>
      <w:r>
        <w:rPr>
          <w:rFonts w:eastAsia="仿宋_GB2312"/>
          <w:color w:val="000000"/>
          <w:sz w:val="32"/>
          <w:szCs w:val="32"/>
        </w:rPr>
        <w:t>。</w:t>
      </w:r>
    </w:p>
    <w:p>
      <w:pPr>
        <w:widowControl/>
        <w:spacing w:line="540" w:lineRule="exact"/>
        <w:ind w:firstLine="640" w:firstLineChars="200"/>
        <w:rPr>
          <w:rFonts w:hint="eastAsia" w:eastAsia="仿宋_GB2312"/>
          <w:color w:val="000000"/>
          <w:sz w:val="32"/>
          <w:szCs w:val="32"/>
        </w:rPr>
      </w:pPr>
      <w:r>
        <w:rPr>
          <w:rFonts w:hint="eastAsia" w:eastAsia="仿宋_GB2312"/>
          <w:color w:val="000000"/>
          <w:sz w:val="32"/>
          <w:szCs w:val="32"/>
        </w:rPr>
        <w:t xml:space="preserve">厂界外100m为污水处理厂的环境防护距离。该环境防护距离范围内不得有医院、学校、居民住宅、食品企业等环境敏感建筑物。  </w:t>
      </w:r>
    </w:p>
    <w:p>
      <w:pPr>
        <w:widowControl/>
        <w:spacing w:line="540" w:lineRule="exact"/>
        <w:ind w:firstLine="640" w:firstLineChars="200"/>
        <w:rPr>
          <w:rFonts w:eastAsia="仿宋_GB2312"/>
          <w:color w:val="000000"/>
          <w:sz w:val="32"/>
          <w:szCs w:val="32"/>
        </w:rPr>
      </w:pPr>
      <w:r>
        <w:rPr>
          <w:rFonts w:hint="eastAsia" w:eastAsia="仿宋_GB2312"/>
          <w:color w:val="000000"/>
          <w:sz w:val="32"/>
          <w:szCs w:val="32"/>
        </w:rPr>
        <w:t>5、</w:t>
      </w:r>
      <w:r>
        <w:rPr>
          <w:rFonts w:eastAsia="仿宋_GB2312"/>
          <w:color w:val="000000"/>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w:t>
      </w:r>
      <w:r>
        <w:rPr>
          <w:rFonts w:hint="eastAsia" w:eastAsia="仿宋_GB2312"/>
          <w:color w:val="000000"/>
          <w:sz w:val="32"/>
          <w:szCs w:val="32"/>
        </w:rPr>
        <w:t>。</w:t>
      </w:r>
    </w:p>
    <w:p>
      <w:pPr>
        <w:widowControl/>
        <w:spacing w:line="540" w:lineRule="exact"/>
        <w:rPr>
          <w:rFonts w:eastAsia="仿宋_GB2312"/>
          <w:color w:val="000000"/>
          <w:sz w:val="32"/>
          <w:szCs w:val="32"/>
        </w:rPr>
      </w:pPr>
      <w:r>
        <w:rPr>
          <w:rFonts w:hint="eastAsia" w:eastAsia="仿宋_GB2312"/>
          <w:color w:val="000000"/>
          <w:sz w:val="32"/>
          <w:szCs w:val="32"/>
        </w:rPr>
        <w:t>对</w:t>
      </w:r>
      <w:r>
        <w:rPr>
          <w:rFonts w:eastAsia="仿宋_GB2312"/>
          <w:color w:val="000000"/>
          <w:sz w:val="32"/>
          <w:szCs w:val="32"/>
        </w:rPr>
        <w:t>除重除氟污泥、废离子交换树脂、化验室废物、在线监测废液、废化学品包装袋、生物滤床更换的滤料</w:t>
      </w:r>
      <w:r>
        <w:rPr>
          <w:rFonts w:hint="eastAsia" w:eastAsia="仿宋_GB2312"/>
          <w:color w:val="000000"/>
          <w:sz w:val="32"/>
          <w:szCs w:val="32"/>
        </w:rPr>
        <w:t>等必须按照《中华人民共和国固体废物污染环境防治法》中的特别规定和《危险废物贮存污染控制标准》（GB18597-2023）的要求，配套专用危险废物临时储存设施，配备专用储存容器进行收集，委托有资质的专业机构对其进行处置，并做好处置记录，不得随意处置；对</w:t>
      </w:r>
      <w:r>
        <w:rPr>
          <w:rFonts w:eastAsia="仿宋_GB2312"/>
          <w:color w:val="000000"/>
          <w:sz w:val="32"/>
          <w:szCs w:val="32"/>
        </w:rPr>
        <w:t>污水处理产生的栅渣、污泥，按规定开展危废鉴定，鉴定前按照危废管理</w:t>
      </w:r>
      <w:r>
        <w:rPr>
          <w:rFonts w:hint="eastAsia" w:eastAsia="仿宋_GB2312"/>
          <w:color w:val="000000"/>
          <w:sz w:val="32"/>
          <w:szCs w:val="32"/>
        </w:rPr>
        <w:t>，鉴定后属于危废的，按照危废管理，不属于危废的，按照有关规定妥善处置，委托进行综合利用或焚烧处置，不得采用土地利用方式处置。</w:t>
      </w:r>
      <w:r>
        <w:rPr>
          <w:rFonts w:eastAsia="仿宋_GB2312"/>
          <w:color w:val="000000"/>
          <w:sz w:val="32"/>
          <w:szCs w:val="32"/>
        </w:rPr>
        <w:t>应制定危险废物管理计划，并将管理计划及危险废物管理有关资料向环境保护行政主管部门申报、备案。</w:t>
      </w:r>
    </w:p>
    <w:p>
      <w:pPr>
        <w:widowControl/>
        <w:spacing w:line="540" w:lineRule="exact"/>
        <w:ind w:firstLine="640" w:firstLineChars="200"/>
        <w:rPr>
          <w:rFonts w:eastAsia="仿宋_GB2312"/>
          <w:color w:val="000000"/>
          <w:sz w:val="32"/>
          <w:szCs w:val="32"/>
        </w:rPr>
      </w:pPr>
      <w:r>
        <w:rPr>
          <w:rFonts w:hint="eastAsia" w:eastAsia="仿宋_GB2312"/>
          <w:color w:val="000000"/>
          <w:sz w:val="32"/>
          <w:szCs w:val="32"/>
        </w:rPr>
        <w:t>6</w:t>
      </w:r>
      <w:r>
        <w:rPr>
          <w:rFonts w:eastAsia="仿宋_GB2312"/>
          <w:color w:val="000000"/>
          <w:sz w:val="32"/>
          <w:szCs w:val="32"/>
        </w:rPr>
        <w:t>、做好地下水、土壤污染防治工作。严格落实《报告</w:t>
      </w:r>
      <w:r>
        <w:rPr>
          <w:rFonts w:hint="eastAsia" w:eastAsia="仿宋_GB2312"/>
          <w:color w:val="000000"/>
          <w:sz w:val="32"/>
          <w:szCs w:val="32"/>
        </w:rPr>
        <w:t>书</w:t>
      </w:r>
      <w:r>
        <w:rPr>
          <w:rFonts w:eastAsia="仿宋_GB2312"/>
          <w:color w:val="000000"/>
          <w:sz w:val="32"/>
          <w:szCs w:val="32"/>
        </w:rPr>
        <w:t>》中分区防渗重点污染防治区防渗措施和其它区域的一般防渗措施，确保地下水环境质量达到《地下水质量标准》（GB/T14848-2017）中的</w:t>
      </w:r>
      <w:r>
        <w:rPr>
          <w:rFonts w:hint="eastAsia" w:ascii="宋体" w:hAnsi="宋体" w:cs="宋体"/>
          <w:color w:val="000000"/>
          <w:sz w:val="32"/>
          <w:szCs w:val="32"/>
        </w:rPr>
        <w:t>Ⅲ</w:t>
      </w:r>
      <w:r>
        <w:rPr>
          <w:rFonts w:eastAsia="仿宋_GB2312"/>
          <w:color w:val="000000"/>
          <w:sz w:val="32"/>
          <w:szCs w:val="32"/>
        </w:rPr>
        <w:t>类标准和建设用地达到《土壤环境质量标准 建设用地土壤污染风险管控标准（试行）》（GB36600-2018）表1中第二类用地筛选值标准，防止地下水、土壤受到污染。</w:t>
      </w:r>
    </w:p>
    <w:p>
      <w:pPr>
        <w:widowControl/>
        <w:spacing w:line="540" w:lineRule="exact"/>
        <w:ind w:firstLine="640" w:firstLineChars="200"/>
        <w:rPr>
          <w:rFonts w:eastAsia="仿宋_GB2312"/>
          <w:color w:val="000000"/>
          <w:sz w:val="32"/>
          <w:szCs w:val="32"/>
        </w:rPr>
      </w:pPr>
      <w:r>
        <w:rPr>
          <w:rFonts w:hint="eastAsia" w:eastAsia="仿宋_GB2312"/>
          <w:color w:val="000000"/>
          <w:sz w:val="32"/>
          <w:szCs w:val="32"/>
        </w:rPr>
        <w:t>7</w:t>
      </w:r>
      <w:r>
        <w:rPr>
          <w:rFonts w:eastAsia="仿宋_GB2312"/>
          <w:color w:val="000000"/>
          <w:sz w:val="32"/>
          <w:szCs w:val="32"/>
        </w:rPr>
        <w:t>、落实噪声污染防治措施。优先选用低噪声设备，对各类噪声源采取必要的隔声、减振、消声、降噪措施，确保项目西侧临近</w:t>
      </w:r>
      <w:r>
        <w:rPr>
          <w:rFonts w:hint="eastAsia" w:eastAsia="仿宋_GB2312"/>
          <w:color w:val="000000"/>
          <w:sz w:val="32"/>
          <w:szCs w:val="32"/>
        </w:rPr>
        <w:t>华杨大道</w:t>
      </w:r>
      <w:r>
        <w:rPr>
          <w:rFonts w:eastAsia="仿宋_GB2312"/>
          <w:color w:val="000000"/>
          <w:sz w:val="32"/>
          <w:szCs w:val="32"/>
        </w:rPr>
        <w:t>厂界昼夜噪声符合《工业企业厂界环境噪声排放标准》（GB12348-2008）中4类标准，其他厂界噪声</w:t>
      </w:r>
      <w:r>
        <w:rPr>
          <w:rFonts w:hint="eastAsia" w:eastAsia="仿宋_GB2312"/>
          <w:color w:val="000000"/>
          <w:sz w:val="32"/>
          <w:szCs w:val="32"/>
        </w:rPr>
        <w:t>符合</w:t>
      </w:r>
      <w:r>
        <w:rPr>
          <w:rFonts w:eastAsia="仿宋_GB2312"/>
          <w:color w:val="000000"/>
          <w:sz w:val="32"/>
          <w:szCs w:val="32"/>
        </w:rPr>
        <w:t>《工业企业厂界环境噪声排放标准》（GB12348-2008）中3类标准的限值要求。</w:t>
      </w:r>
    </w:p>
    <w:p>
      <w:pPr>
        <w:widowControl/>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8</w:t>
      </w:r>
      <w:r>
        <w:rPr>
          <w:rFonts w:eastAsia="仿宋_GB2312"/>
          <w:color w:val="000000"/>
          <w:sz w:val="32"/>
          <w:szCs w:val="32"/>
        </w:rPr>
        <w:t>、做好项目的环境风险防范工作。建立环境风险应急管理体系，根据项目的建设内容按规定编制突发环境事件应急预案，保证防范环境风险配套设施的落实</w:t>
      </w:r>
      <w:r>
        <w:rPr>
          <w:rFonts w:hint="eastAsia" w:eastAsia="仿宋_GB2312"/>
          <w:color w:val="000000"/>
          <w:sz w:val="32"/>
          <w:szCs w:val="32"/>
        </w:rPr>
        <w:t>，配套新建一座3084m</w:t>
      </w:r>
      <w:r>
        <w:rPr>
          <w:rFonts w:hint="eastAsia" w:eastAsia="仿宋_GB2312"/>
          <w:color w:val="000000"/>
          <w:sz w:val="32"/>
          <w:szCs w:val="32"/>
          <w:vertAlign w:val="superscript"/>
        </w:rPr>
        <w:t>3</w:t>
      </w:r>
      <w:r>
        <w:rPr>
          <w:rFonts w:hint="eastAsia" w:eastAsia="仿宋_GB2312"/>
          <w:color w:val="000000"/>
          <w:sz w:val="32"/>
          <w:szCs w:val="32"/>
        </w:rPr>
        <w:t>应急事故池，</w:t>
      </w:r>
      <w:r>
        <w:rPr>
          <w:rFonts w:eastAsia="仿宋_GB2312"/>
          <w:color w:val="000000"/>
          <w:sz w:val="32"/>
          <w:szCs w:val="32"/>
        </w:rPr>
        <w:t>确保在应急状态下，废水能自流进入事故应急池；在生产中要严格执行防范环境风险事故的制度和措施，做好运输、贮存和生产等环节的环境风险管理；出现事故隐患等环境危害事件，应立即按照突发环境事件应急预案处置，包括停止生产，并及时向生态环境部门及相关部门报告。</w:t>
      </w:r>
    </w:p>
    <w:p>
      <w:pPr>
        <w:widowControl/>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9</w:t>
      </w:r>
      <w:r>
        <w:rPr>
          <w:rFonts w:eastAsia="仿宋_GB2312"/>
          <w:color w:val="000000"/>
          <w:sz w:val="32"/>
          <w:szCs w:val="32"/>
        </w:rPr>
        <w:t>、建立健全环境管理规章制度，设立环境管理机构，确定专人负责环保工作。加强对污染治理设施的管理和维护，确保污染治理设施正常运行，污染物稳定达标排放。</w:t>
      </w:r>
    </w:p>
    <w:p>
      <w:pPr>
        <w:widowControl/>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10</w:t>
      </w:r>
      <w:r>
        <w:rPr>
          <w:rFonts w:eastAsia="仿宋_GB2312"/>
          <w:color w:val="000000"/>
          <w:sz w:val="32"/>
          <w:szCs w:val="32"/>
        </w:rPr>
        <w:t>、施工期应按《报告</w:t>
      </w:r>
      <w:r>
        <w:rPr>
          <w:rFonts w:hint="eastAsia" w:eastAsia="仿宋_GB2312"/>
          <w:color w:val="000000"/>
          <w:sz w:val="32"/>
          <w:szCs w:val="32"/>
        </w:rPr>
        <w:t>书</w:t>
      </w:r>
      <w:r>
        <w:rPr>
          <w:rFonts w:eastAsia="仿宋_GB2312"/>
          <w:color w:val="000000"/>
          <w:sz w:val="32"/>
          <w:szCs w:val="32"/>
        </w:rPr>
        <w:t>》要求及相关规定落实废气、废水、噪声等污染防治措施，做好固体废物管理，确保施工期污染物达标排放。</w:t>
      </w:r>
    </w:p>
    <w:p>
      <w:pPr>
        <w:widowControl/>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三、</w:t>
      </w:r>
      <w:r>
        <w:rPr>
          <w:rFonts w:eastAsia="仿宋_GB2312"/>
          <w:color w:val="000000"/>
          <w:sz w:val="32"/>
          <w:szCs w:val="32"/>
        </w:rPr>
        <w:t>项目应采用先进适用的工艺技术和装备，</w:t>
      </w:r>
      <w:r>
        <w:rPr>
          <w:rFonts w:hint="eastAsia" w:eastAsia="仿宋_GB2312"/>
          <w:color w:val="000000"/>
          <w:sz w:val="32"/>
          <w:szCs w:val="32"/>
        </w:rPr>
        <w:t>清洁生产水平</w:t>
      </w:r>
      <w:r>
        <w:rPr>
          <w:rFonts w:eastAsia="仿宋_GB2312"/>
          <w:color w:val="000000"/>
          <w:sz w:val="32"/>
          <w:szCs w:val="32"/>
        </w:rPr>
        <w:t>应达到行业先进水平，减少碳和污染物排放。</w:t>
      </w:r>
    </w:p>
    <w:p>
      <w:pPr>
        <w:widowControl/>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四</w:t>
      </w:r>
      <w:r>
        <w:rPr>
          <w:rFonts w:eastAsia="仿宋_GB2312"/>
          <w:color w:val="000000"/>
          <w:sz w:val="32"/>
          <w:szCs w:val="32"/>
        </w:rPr>
        <w:t>、应当严格执行安全生产各项规定，建立健全安全生产管理制度，将环保设备设施安全作为企业安全管理的重要组成部分，加强环保设备设施相关岗位人员安全培训。严格落实涉环保设备设施新、改、扩建项目环保和安全“三同时”有关要求，委托有资质的设计单位进行正规设计。对</w:t>
      </w:r>
      <w:r>
        <w:rPr>
          <w:rFonts w:hint="eastAsia" w:eastAsia="仿宋_GB2312"/>
          <w:color w:val="000000"/>
          <w:sz w:val="32"/>
          <w:szCs w:val="32"/>
        </w:rPr>
        <w:t>废水处理单元</w:t>
      </w:r>
      <w:r>
        <w:rPr>
          <w:rFonts w:eastAsia="仿宋_GB2312"/>
          <w:color w:val="000000"/>
          <w:sz w:val="32"/>
          <w:szCs w:val="32"/>
        </w:rPr>
        <w:t>等重点环保设备设施，开展环保设备设施安全风险辨识评估和隐患排查治理，落实安全生产各项责任措施。环保设备设施依法开展安全风险评估，按要求设置安全监测监控系统和联锁保护装置，做好安全防范。</w:t>
      </w:r>
    </w:p>
    <w:p>
      <w:pPr>
        <w:widowControl/>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五</w:t>
      </w:r>
      <w:r>
        <w:rPr>
          <w:rFonts w:eastAsia="仿宋_GB2312"/>
          <w:color w:val="000000"/>
          <w:sz w:val="32"/>
          <w:szCs w:val="32"/>
        </w:rPr>
        <w:t>、建设项目必须严格执行环境保护“三同时”制度。项目规划设计应同步落实防治环境污染和生态破坏措施设计，保证环境保护设施投入。环保设施建设必须纳入施工合同，保证环保设施建设进度和资金。</w:t>
      </w:r>
    </w:p>
    <w:p>
      <w:pPr>
        <w:widowControl/>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六</w:t>
      </w:r>
      <w:r>
        <w:rPr>
          <w:rFonts w:eastAsia="仿宋_GB2312"/>
          <w:color w:val="000000"/>
          <w:sz w:val="32"/>
          <w:szCs w:val="32"/>
        </w:rPr>
        <w:t>、《报告</w:t>
      </w:r>
      <w:r>
        <w:rPr>
          <w:rFonts w:hint="eastAsia" w:eastAsia="仿宋_GB2312"/>
          <w:color w:val="000000"/>
          <w:sz w:val="32"/>
          <w:szCs w:val="32"/>
        </w:rPr>
        <w:t>书</w:t>
      </w:r>
      <w:r>
        <w:rPr>
          <w:rFonts w:eastAsia="仿宋_GB2312"/>
          <w:color w:val="000000"/>
          <w:sz w:val="32"/>
          <w:szCs w:val="32"/>
        </w:rPr>
        <w:t>》经批准后，如项目的性质、规模、地点、采用的生产工艺或防治污染的措施发生重大变动的，应依法重新报批项目的环境影响评价文件。超过五年方决定该项目开工建设的，应依法报我局重新审核。</w:t>
      </w:r>
    </w:p>
    <w:p>
      <w:pPr>
        <w:widowControl/>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七</w:t>
      </w:r>
      <w:r>
        <w:rPr>
          <w:rFonts w:eastAsia="仿宋_GB2312"/>
          <w:color w:val="000000"/>
          <w:sz w:val="32"/>
          <w:szCs w:val="32"/>
        </w:rPr>
        <w:t>、国家对本项目应执行的环境标准作出修订或新颁布的要求，执行新标准和新要求。</w:t>
      </w:r>
    </w:p>
    <w:p>
      <w:pPr>
        <w:widowControl/>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八</w:t>
      </w:r>
      <w:r>
        <w:rPr>
          <w:rFonts w:eastAsia="仿宋_GB2312"/>
          <w:color w:val="000000"/>
          <w:sz w:val="32"/>
          <w:szCs w:val="32"/>
        </w:rPr>
        <w:t>、该项目投入生产或使用并产生实际排污行为之前，根据《固定污染源排污许可分类管理名录》申领排污许可证。</w:t>
      </w:r>
    </w:p>
    <w:p>
      <w:pPr>
        <w:widowControl/>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九</w:t>
      </w:r>
      <w:r>
        <w:rPr>
          <w:rFonts w:eastAsia="仿宋_GB2312"/>
          <w:color w:val="000000"/>
          <w:sz w:val="32"/>
          <w:szCs w:val="32"/>
        </w:rPr>
        <w:t>、该项目建成后，应按照法定程序和要求及时开展建设项目竣工环境保护验收和验收信息报送工作，并依法依规公开相关信息。</w:t>
      </w:r>
    </w:p>
    <w:p>
      <w:pPr>
        <w:widowControl/>
        <w:snapToGrid w:val="0"/>
        <w:spacing w:line="540" w:lineRule="exact"/>
        <w:ind w:firstLine="640" w:firstLineChars="200"/>
        <w:rPr>
          <w:rFonts w:eastAsia="仿宋_GB2312"/>
          <w:color w:val="000000"/>
          <w:sz w:val="32"/>
          <w:szCs w:val="32"/>
        </w:rPr>
      </w:pPr>
      <w:r>
        <w:rPr>
          <w:rFonts w:hint="eastAsia" w:eastAsia="仿宋_GB2312"/>
          <w:color w:val="000000"/>
          <w:sz w:val="32"/>
          <w:szCs w:val="32"/>
        </w:rPr>
        <w:t>十</w:t>
      </w:r>
      <w:r>
        <w:rPr>
          <w:rFonts w:eastAsia="仿宋_GB2312"/>
          <w:color w:val="000000"/>
          <w:sz w:val="32"/>
          <w:szCs w:val="32"/>
        </w:rPr>
        <w:t>、项目实施过程中应依法严格执行相关主管部门规定，取得法定许可后方可开工。</w:t>
      </w:r>
    </w:p>
    <w:p>
      <w:pPr>
        <w:widowControl/>
        <w:snapToGrid w:val="0"/>
        <w:spacing w:line="540" w:lineRule="exact"/>
        <w:ind w:firstLine="640" w:firstLineChars="200"/>
        <w:rPr>
          <w:rFonts w:eastAsia="仿宋_GB2312"/>
          <w:color w:val="000000"/>
          <w:sz w:val="32"/>
          <w:szCs w:val="32"/>
        </w:rPr>
      </w:pPr>
      <w:bookmarkStart w:id="2" w:name="OLE_LINK16"/>
      <w:r>
        <w:rPr>
          <w:rFonts w:hint="eastAsia" w:eastAsia="仿宋_GB2312"/>
          <w:color w:val="000000"/>
          <w:sz w:val="32"/>
          <w:szCs w:val="32"/>
        </w:rPr>
        <w:t>十一</w:t>
      </w:r>
      <w:r>
        <w:rPr>
          <w:rFonts w:eastAsia="仿宋_GB2312"/>
          <w:color w:val="000000"/>
          <w:sz w:val="32"/>
          <w:szCs w:val="32"/>
        </w:rPr>
        <w:t>、</w:t>
      </w:r>
      <w:bookmarkStart w:id="3" w:name="OLE_LINK14"/>
      <w:r>
        <w:rPr>
          <w:rFonts w:eastAsia="仿宋_GB2312"/>
          <w:color w:val="000000"/>
          <w:sz w:val="32"/>
          <w:szCs w:val="32"/>
        </w:rPr>
        <w:t>请</w:t>
      </w:r>
      <w:r>
        <w:rPr>
          <w:rFonts w:hint="eastAsia" w:eastAsia="仿宋_GB2312"/>
          <w:color w:val="000000"/>
          <w:sz w:val="32"/>
          <w:szCs w:val="32"/>
        </w:rPr>
        <w:t>祁门县</w:t>
      </w:r>
      <w:r>
        <w:rPr>
          <w:rFonts w:eastAsia="仿宋_GB2312"/>
          <w:color w:val="000000"/>
          <w:sz w:val="32"/>
          <w:szCs w:val="32"/>
        </w:rPr>
        <w:t>生态环境</w:t>
      </w:r>
      <w:r>
        <w:rPr>
          <w:rFonts w:hint="eastAsia" w:eastAsia="仿宋_GB2312"/>
          <w:color w:val="000000"/>
          <w:sz w:val="32"/>
          <w:szCs w:val="32"/>
        </w:rPr>
        <w:t>分局</w:t>
      </w:r>
      <w:r>
        <w:rPr>
          <w:rFonts w:eastAsia="仿宋_GB2312"/>
          <w:color w:val="000000"/>
          <w:sz w:val="32"/>
          <w:szCs w:val="32"/>
        </w:rPr>
        <w:t>负责该项目环保“三同时”日常监督管理工作。</w:t>
      </w:r>
    </w:p>
    <w:bookmarkEnd w:id="2"/>
    <w:bookmarkEnd w:id="3"/>
    <w:p>
      <w:pPr>
        <w:spacing w:line="540" w:lineRule="exact"/>
        <w:ind w:firstLine="480" w:firstLineChars="200"/>
        <w:rPr>
          <w:color w:val="000000"/>
          <w:kern w:val="0"/>
          <w:sz w:val="24"/>
          <w:szCs w:val="20"/>
        </w:rPr>
      </w:pPr>
    </w:p>
    <w:p>
      <w:pPr>
        <w:widowControl/>
        <w:snapToGrid w:val="0"/>
        <w:spacing w:line="540" w:lineRule="exact"/>
        <w:ind w:firstLine="5120" w:firstLineChars="1600"/>
        <w:rPr>
          <w:rFonts w:eastAsia="仿宋_GB2312"/>
          <w:color w:val="000000"/>
          <w:sz w:val="32"/>
          <w:szCs w:val="32"/>
        </w:rPr>
      </w:pPr>
    </w:p>
    <w:p>
      <w:pPr>
        <w:widowControl/>
        <w:snapToGrid w:val="0"/>
        <w:spacing w:line="540" w:lineRule="exact"/>
        <w:ind w:firstLine="5120" w:firstLineChars="1600"/>
        <w:rPr>
          <w:rFonts w:eastAsia="仿宋_GB2312"/>
          <w:color w:val="000000"/>
          <w:sz w:val="32"/>
          <w:szCs w:val="32"/>
        </w:rPr>
      </w:pPr>
      <w:r>
        <w:rPr>
          <w:rFonts w:eastAsia="仿宋_GB2312"/>
          <w:color w:val="000000"/>
          <w:sz w:val="32"/>
          <w:szCs w:val="32"/>
        </w:rPr>
        <w:t>2025年</w:t>
      </w:r>
      <w:r>
        <w:rPr>
          <w:rFonts w:hint="eastAsia" w:eastAsia="仿宋_GB2312"/>
          <w:color w:val="000000"/>
          <w:sz w:val="32"/>
          <w:szCs w:val="32"/>
        </w:rPr>
        <w:t>6</w:t>
      </w:r>
      <w:r>
        <w:rPr>
          <w:rFonts w:eastAsia="仿宋_GB2312"/>
          <w:color w:val="000000"/>
          <w:sz w:val="32"/>
          <w:szCs w:val="32"/>
        </w:rPr>
        <w:t>月</w:t>
      </w:r>
      <w:r>
        <w:rPr>
          <w:rFonts w:hint="eastAsia" w:eastAsia="仿宋_GB2312"/>
          <w:color w:val="000000"/>
          <w:sz w:val="32"/>
          <w:szCs w:val="32"/>
        </w:rPr>
        <w:t>26</w:t>
      </w:r>
      <w:r>
        <w:rPr>
          <w:rFonts w:eastAsia="仿宋_GB2312"/>
          <w:color w:val="000000"/>
          <w:sz w:val="32"/>
          <w:szCs w:val="32"/>
        </w:rPr>
        <w:t xml:space="preserve">日  </w:t>
      </w:r>
    </w:p>
    <w:p>
      <w:pPr>
        <w:spacing w:line="560" w:lineRule="exact"/>
        <w:ind w:left="320" w:hanging="320" w:hangingChars="100"/>
        <w:jc w:val="center"/>
        <w:rPr>
          <w:rFonts w:eastAsia="仿宋_GB2312"/>
          <w:color w:val="000000"/>
          <w:sz w:val="32"/>
          <w:szCs w:val="32"/>
        </w:rPr>
      </w:pPr>
    </w:p>
    <w:p>
      <w:pPr>
        <w:ind w:firstLine="480" w:firstLineChars="200"/>
        <w:rPr>
          <w:color w:val="000000"/>
          <w:kern w:val="0"/>
          <w:sz w:val="24"/>
          <w:szCs w:val="20"/>
        </w:rPr>
      </w:pPr>
    </w:p>
    <w:p>
      <w:pPr>
        <w:spacing w:before="312" w:beforeLines="100"/>
        <w:jc w:val="center"/>
        <w:rPr>
          <w:rFonts w:eastAsia="楷体"/>
          <w:color w:val="000000"/>
          <w:sz w:val="24"/>
        </w:rPr>
      </w:pPr>
    </w:p>
    <w:p>
      <w:pPr>
        <w:spacing w:before="312" w:beforeLines="100"/>
        <w:jc w:val="center"/>
        <w:rPr>
          <w:rFonts w:eastAsia="楷体"/>
          <w:color w:val="000000"/>
          <w:sz w:val="24"/>
        </w:rPr>
      </w:pPr>
    </w:p>
    <w:p>
      <w:pPr>
        <w:spacing w:before="312" w:beforeLines="100"/>
        <w:jc w:val="center"/>
        <w:rPr>
          <w:rFonts w:eastAsia="楷体"/>
          <w:color w:val="000000"/>
          <w:sz w:val="24"/>
        </w:rPr>
      </w:pPr>
    </w:p>
    <w:p>
      <w:pPr>
        <w:spacing w:before="312" w:beforeLines="100"/>
        <w:jc w:val="center"/>
        <w:rPr>
          <w:rFonts w:eastAsia="楷体"/>
          <w:color w:val="000000"/>
          <w:sz w:val="24"/>
        </w:rPr>
      </w:pPr>
    </w:p>
    <w:p>
      <w:pPr>
        <w:spacing w:before="312" w:beforeLines="100"/>
        <w:jc w:val="center"/>
        <w:rPr>
          <w:rFonts w:eastAsia="楷体"/>
          <w:color w:val="000000"/>
          <w:sz w:val="24"/>
        </w:rPr>
      </w:pPr>
    </w:p>
    <w:p>
      <w:pPr>
        <w:spacing w:before="312" w:beforeLines="100"/>
        <w:jc w:val="center"/>
        <w:rPr>
          <w:rFonts w:eastAsia="楷体"/>
          <w:color w:val="000000"/>
          <w:sz w:val="24"/>
        </w:rPr>
      </w:pPr>
    </w:p>
    <w:p>
      <w:pPr>
        <w:spacing w:line="560" w:lineRule="exact"/>
        <w:jc w:val="center"/>
        <w:rPr>
          <w:rFonts w:eastAsia="仿宋_GB2312"/>
          <w:color w:val="000000"/>
          <w:sz w:val="32"/>
          <w:szCs w:val="32"/>
        </w:rPr>
      </w:pPr>
    </w:p>
    <w:tbl>
      <w:tblPr>
        <w:tblStyle w:val="17"/>
        <w:tblpPr w:leftFromText="180" w:rightFromText="180" w:vertAnchor="text" w:horzAnchor="margin" w:tblpY="7226"/>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240" w:type="dxa"/>
            <w:tcBorders>
              <w:top w:val="single" w:color="auto" w:sz="4" w:space="0"/>
              <w:left w:val="nil"/>
              <w:bottom w:val="single" w:color="auto" w:sz="4" w:space="0"/>
              <w:right w:val="nil"/>
            </w:tcBorders>
            <w:vAlign w:val="center"/>
          </w:tcPr>
          <w:p>
            <w:pPr>
              <w:adjustRightInd w:val="0"/>
              <w:snapToGrid w:val="0"/>
              <w:spacing w:line="400" w:lineRule="exact"/>
              <w:ind w:left="1050" w:leftChars="100" w:hanging="840" w:hangingChars="300"/>
              <w:rPr>
                <w:rFonts w:eastAsia="仿宋_GB2312"/>
                <w:color w:val="000000"/>
                <w:sz w:val="28"/>
                <w:szCs w:val="28"/>
              </w:rPr>
            </w:pPr>
            <w:r>
              <w:rPr>
                <w:rFonts w:eastAsia="仿宋_GB2312"/>
                <w:color w:val="000000"/>
                <w:sz w:val="28"/>
                <w:szCs w:val="28"/>
              </w:rPr>
              <w:t>抄送</w:t>
            </w:r>
            <w:r>
              <w:rPr>
                <w:rFonts w:eastAsia="仿宋_GB2312"/>
                <w:color w:val="000000"/>
                <w:sz w:val="28"/>
                <w:szCs w:val="28"/>
                <w:lang w:val="zh-CN"/>
              </w:rPr>
              <w:t>：</w:t>
            </w:r>
            <w:r>
              <w:rPr>
                <w:rFonts w:hint="eastAsia" w:eastAsia="仿宋_GB2312"/>
                <w:color w:val="000000"/>
                <w:sz w:val="28"/>
                <w:szCs w:val="28"/>
              </w:rPr>
              <w:t>祁门县</w:t>
            </w:r>
            <w:r>
              <w:rPr>
                <w:rFonts w:eastAsia="仿宋_GB2312"/>
                <w:color w:val="000000"/>
                <w:sz w:val="28"/>
                <w:szCs w:val="28"/>
                <w:lang w:val="zh-CN"/>
              </w:rPr>
              <w:t>生态环境</w:t>
            </w:r>
            <w:r>
              <w:rPr>
                <w:rFonts w:hint="eastAsia" w:eastAsia="仿宋_GB2312"/>
                <w:color w:val="000000"/>
                <w:sz w:val="28"/>
                <w:szCs w:val="28"/>
              </w:rPr>
              <w:t>分局</w:t>
            </w:r>
            <w:r>
              <w:rPr>
                <w:rFonts w:eastAsia="仿宋_GB2312"/>
                <w:color w:val="000000"/>
                <w:sz w:val="28"/>
                <w:szCs w:val="28"/>
                <w:lang w:val="zh-CN"/>
              </w:rPr>
              <w:t>，</w:t>
            </w:r>
            <w:r>
              <w:rPr>
                <w:rFonts w:hint="eastAsia" w:eastAsia="仿宋_GB2312"/>
                <w:color w:val="000000"/>
                <w:sz w:val="28"/>
                <w:szCs w:val="28"/>
              </w:rPr>
              <w:t>黄山星源环境咨询</w:t>
            </w:r>
            <w:r>
              <w:rPr>
                <w:rFonts w:eastAsia="仿宋_GB2312"/>
                <w:color w:val="000000"/>
                <w:sz w:val="28"/>
                <w:szCs w:val="28"/>
              </w:rPr>
              <w:t>有限公司</w:t>
            </w:r>
            <w:r>
              <w:rPr>
                <w:rFonts w:eastAsia="仿宋_GB2312"/>
                <w:color w:val="00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240" w:type="dxa"/>
            <w:tcBorders>
              <w:top w:val="single" w:color="auto" w:sz="4" w:space="0"/>
              <w:left w:val="nil"/>
              <w:bottom w:val="single" w:color="auto" w:sz="4" w:space="0"/>
              <w:right w:val="nil"/>
            </w:tcBorders>
            <w:vAlign w:val="center"/>
          </w:tcPr>
          <w:p>
            <w:pPr>
              <w:adjustRightInd w:val="0"/>
              <w:snapToGrid w:val="0"/>
              <w:spacing w:line="400" w:lineRule="exact"/>
              <w:ind w:firstLine="140" w:firstLineChars="50"/>
              <w:rPr>
                <w:rFonts w:eastAsia="仿宋_GB2312"/>
                <w:color w:val="000000"/>
                <w:sz w:val="28"/>
                <w:szCs w:val="28"/>
              </w:rPr>
            </w:pPr>
            <w:r>
              <w:rPr>
                <w:rFonts w:eastAsia="仿宋_GB2312"/>
                <w:color w:val="000000"/>
                <w:sz w:val="28"/>
                <w:szCs w:val="28"/>
              </w:rPr>
              <w:t>黄山市生态环境局                          202</w:t>
            </w:r>
            <w:r>
              <w:rPr>
                <w:rFonts w:hint="eastAsia" w:eastAsia="仿宋_GB2312"/>
                <w:color w:val="000000"/>
                <w:sz w:val="28"/>
                <w:szCs w:val="28"/>
              </w:rPr>
              <w:t>5</w:t>
            </w:r>
            <w:r>
              <w:rPr>
                <w:rFonts w:eastAsia="仿宋_GB2312"/>
                <w:color w:val="000000"/>
                <w:sz w:val="28"/>
                <w:szCs w:val="28"/>
              </w:rPr>
              <w:t>年</w:t>
            </w:r>
            <w:r>
              <w:rPr>
                <w:rFonts w:hint="eastAsia" w:eastAsia="仿宋_GB2312"/>
                <w:color w:val="000000"/>
                <w:sz w:val="28"/>
                <w:szCs w:val="28"/>
              </w:rPr>
              <w:t>6</w:t>
            </w:r>
            <w:r>
              <w:rPr>
                <w:rFonts w:eastAsia="仿宋_GB2312"/>
                <w:color w:val="000000"/>
                <w:sz w:val="28"/>
                <w:szCs w:val="28"/>
              </w:rPr>
              <w:t>月</w:t>
            </w:r>
            <w:r>
              <w:rPr>
                <w:rFonts w:hint="eastAsia" w:eastAsia="仿宋_GB2312"/>
                <w:color w:val="000000"/>
                <w:sz w:val="28"/>
                <w:szCs w:val="28"/>
              </w:rPr>
              <w:t xml:space="preserve">26 </w:t>
            </w:r>
            <w:r>
              <w:rPr>
                <w:rFonts w:eastAsia="仿宋_GB2312"/>
                <w:color w:val="000000"/>
                <w:sz w:val="28"/>
                <w:szCs w:val="28"/>
              </w:rPr>
              <w:t>日印发</w:t>
            </w:r>
          </w:p>
        </w:tc>
      </w:tr>
    </w:tbl>
    <w:p>
      <w:pPr>
        <w:adjustRightInd w:val="0"/>
        <w:snapToGrid w:val="0"/>
        <w:spacing w:line="600" w:lineRule="exact"/>
        <w:jc w:val="center"/>
      </w:pPr>
    </w:p>
    <w:sectPr>
      <w:footerReference r:id="rId3" w:type="default"/>
      <w:footerReference r:id="rId4" w:type="even"/>
      <w:pgSz w:w="11906" w:h="16838"/>
      <w:pgMar w:top="1985" w:right="1797" w:bottom="1134" w:left="1797" w:header="851"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lgun Gothic Semilight">
    <w:altName w:val="汉仪仿宋S"/>
    <w:panose1 w:val="00000000000000000000"/>
    <w:charset w:val="86"/>
    <w:family w:val="auto"/>
    <w:pitch w:val="default"/>
    <w:sig w:usb0="00000000" w:usb1="00000000" w:usb2="00000012" w:usb3="00000000" w:csb0="203E01BD" w:csb1="D7FF0000"/>
  </w:font>
  <w:font w:name="Arial">
    <w:altName w:val="Nimbus Roman No9 L"/>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mirrorMargins w:val="true"/>
  <w:bordersDoNotSurroundHeader w:val="true"/>
  <w:bordersDoNotSurroundFooter w:val="true"/>
  <w:documentProtection w:enforcement="0"/>
  <w:defaultTabStop w:val="420"/>
  <w:doNotHyphenateCaps/>
  <w:evenAndOddHeaders w:val="true"/>
  <w:drawingGridHorizontalSpacing w:val="105"/>
  <w:drawingGridVerticalSpacing w:val="435"/>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1D6C"/>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07BA7"/>
    <w:rsid w:val="0091325C"/>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0C27"/>
    <w:rsid w:val="009A245A"/>
    <w:rsid w:val="009A2A95"/>
    <w:rsid w:val="009A472F"/>
    <w:rsid w:val="009A50BC"/>
    <w:rsid w:val="009A6A50"/>
    <w:rsid w:val="009A77E2"/>
    <w:rsid w:val="009B0387"/>
    <w:rsid w:val="009B0600"/>
    <w:rsid w:val="009B2EF5"/>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9F7389"/>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B85"/>
    <w:rsid w:val="00AC4C56"/>
    <w:rsid w:val="00AD0BD4"/>
    <w:rsid w:val="00AD19F6"/>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3D4566A"/>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 w:val="FAFF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31"/>
    <w:qFormat/>
    <w:uiPriority w:val="0"/>
    <w:pPr>
      <w:ind w:firstLine="420" w:firstLineChars="200"/>
    </w:pPr>
    <w:rPr>
      <w:kern w:val="0"/>
      <w:sz w:val="24"/>
      <w:szCs w:val="20"/>
    </w:rPr>
  </w:style>
  <w:style w:type="paragraph" w:customStyle="1" w:styleId="3">
    <w:name w:val="附图图片"/>
    <w:basedOn w:val="1"/>
    <w:qFormat/>
    <w:uiPriority w:val="0"/>
    <w:pPr>
      <w:spacing w:before="100" w:beforeLines="100"/>
      <w:jc w:val="center"/>
    </w:pPr>
    <w:rPr>
      <w:rFonts w:eastAsia="楷体"/>
      <w:sz w:val="24"/>
    </w:rPr>
  </w:style>
  <w:style w:type="paragraph" w:styleId="6">
    <w:name w:val="annotation text"/>
    <w:basedOn w:val="1"/>
    <w:link w:val="32"/>
    <w:semiHidden/>
    <w:qFormat/>
    <w:uiPriority w:val="0"/>
    <w:pPr>
      <w:jc w:val="left"/>
    </w:pPr>
    <w:rPr>
      <w:szCs w:val="21"/>
    </w:rPr>
  </w:style>
  <w:style w:type="paragraph" w:styleId="7">
    <w:name w:val="Body Text"/>
    <w:basedOn w:val="1"/>
    <w:next w:val="1"/>
    <w:qFormat/>
    <w:uiPriority w:val="0"/>
    <w:pPr>
      <w:spacing w:after="120"/>
    </w:pPr>
  </w:style>
  <w:style w:type="paragraph" w:styleId="8">
    <w:name w:val="Body Text Indent"/>
    <w:basedOn w:val="1"/>
    <w:link w:val="77"/>
    <w:qFormat/>
    <w:uiPriority w:val="0"/>
    <w:pPr>
      <w:spacing w:after="120"/>
      <w:ind w:left="420" w:leftChars="200"/>
    </w:pPr>
  </w:style>
  <w:style w:type="paragraph" w:styleId="9">
    <w:name w:val="Date"/>
    <w:basedOn w:val="1"/>
    <w:next w:val="1"/>
    <w:link w:val="33"/>
    <w:qFormat/>
    <w:uiPriority w:val="0"/>
    <w:pPr>
      <w:ind w:left="100" w:leftChars="2500"/>
    </w:pPr>
    <w:rPr>
      <w:sz w:val="24"/>
    </w:rPr>
  </w:style>
  <w:style w:type="paragraph" w:styleId="10">
    <w:name w:val="Body Text Indent 2"/>
    <w:basedOn w:val="1"/>
    <w:link w:val="34"/>
    <w:qFormat/>
    <w:uiPriority w:val="0"/>
    <w:pPr>
      <w:spacing w:line="590" w:lineRule="exact"/>
      <w:ind w:firstLine="880" w:firstLineChars="200"/>
    </w:pPr>
    <w:rPr>
      <w:rFonts w:eastAsia="方正仿宋_GBK"/>
    </w:rPr>
  </w:style>
  <w:style w:type="paragraph" w:styleId="11">
    <w:name w:val="Balloon Text"/>
    <w:basedOn w:val="1"/>
    <w:link w:val="76"/>
    <w:qFormat/>
    <w:uiPriority w:val="0"/>
    <w:rPr>
      <w:sz w:val="18"/>
      <w:szCs w:val="18"/>
    </w:rPr>
  </w:style>
  <w:style w:type="paragraph" w:styleId="12">
    <w:name w:val="footer"/>
    <w:basedOn w:val="1"/>
    <w:link w:val="35"/>
    <w:qFormat/>
    <w:uiPriority w:val="0"/>
    <w:pPr>
      <w:tabs>
        <w:tab w:val="center" w:pos="4153"/>
        <w:tab w:val="right" w:pos="8306"/>
      </w:tabs>
      <w:snapToGrid w:val="0"/>
      <w:jc w:val="left"/>
    </w:pPr>
    <w:rPr>
      <w:sz w:val="18"/>
      <w:szCs w:val="20"/>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pPr>
      <w:tabs>
        <w:tab w:val="right" w:leader="dot" w:pos="8302"/>
      </w:tabs>
      <w:spacing w:before="120" w:after="120" w:line="360" w:lineRule="auto"/>
      <w:jc w:val="distribute"/>
    </w:pPr>
    <w:rPr>
      <w:rFonts w:ascii="黑体" w:hAnsi="黑体" w:eastAsia="黑体"/>
      <w:bCs/>
      <w:caps/>
      <w:kern w:val="44"/>
      <w:szCs w:val="20"/>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link w:val="78"/>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locked/>
    <w:uiPriority w:val="0"/>
    <w:rPr>
      <w:rFonts w:cs="Times New Roman"/>
      <w:b/>
      <w:bCs/>
    </w:rPr>
  </w:style>
  <w:style w:type="character" w:styleId="21">
    <w:name w:val="page number"/>
    <w:qFormat/>
    <w:uiPriority w:val="0"/>
    <w:rPr>
      <w:rFonts w:cs="Times New Roman"/>
    </w:rPr>
  </w:style>
  <w:style w:type="character" w:styleId="22">
    <w:name w:val="Emphasis"/>
    <w:qFormat/>
    <w:locked/>
    <w:uiPriority w:val="0"/>
    <w:rPr>
      <w:rFonts w:cs="Times New Roman"/>
      <w:i/>
      <w:iCs/>
    </w:rPr>
  </w:style>
  <w:style w:type="character" w:styleId="23">
    <w:name w:val="Hyperlink"/>
    <w:qFormat/>
    <w:uiPriority w:val="0"/>
    <w:rPr>
      <w:rFonts w:ascii="微软雅黑" w:hAnsi="微软雅黑" w:eastAsia="微软雅黑"/>
      <w:color w:val="000000"/>
      <w:sz w:val="18"/>
      <w:u w:val="none"/>
    </w:rPr>
  </w:style>
  <w:style w:type="paragraph" w:customStyle="1" w:styleId="24">
    <w:name w:val="Default"/>
    <w:basedOn w:val="25"/>
    <w:next w:val="26"/>
    <w:qFormat/>
    <w:uiPriority w:val="99"/>
    <w:pPr>
      <w:tabs>
        <w:tab w:val="left" w:pos="0"/>
      </w:tabs>
      <w:autoSpaceDE w:val="0"/>
      <w:autoSpaceDN w:val="0"/>
      <w:adjustRightInd w:val="0"/>
    </w:pPr>
    <w:rPr>
      <w:color w:val="000000"/>
      <w:sz w:val="24"/>
    </w:rPr>
  </w:style>
  <w:style w:type="paragraph" w:customStyle="1" w:styleId="25">
    <w:name w:val="标题2"/>
    <w:basedOn w:val="5"/>
    <w:qFormat/>
    <w:uiPriority w:val="0"/>
    <w:pPr>
      <w:tabs>
        <w:tab w:val="left" w:pos="0"/>
      </w:tabs>
      <w:spacing w:line="440" w:lineRule="exact"/>
      <w:ind w:left="1560"/>
    </w:pPr>
    <w:rPr>
      <w:sz w:val="28"/>
    </w:rPr>
  </w:style>
  <w:style w:type="paragraph" w:customStyle="1" w:styleId="26">
    <w:name w:val="样式3"/>
    <w:basedOn w:val="14"/>
    <w:next w:val="27"/>
    <w:qFormat/>
    <w:uiPriority w:val="0"/>
    <w:pPr>
      <w:autoSpaceDE w:val="0"/>
      <w:autoSpaceDN w:val="0"/>
      <w:snapToGrid w:val="0"/>
      <w:spacing w:line="460" w:lineRule="atLeast"/>
      <w:jc w:val="center"/>
    </w:pPr>
    <w:rPr>
      <w:rFonts w:ascii="Times New Roman" w:hAnsi="Times New Roman"/>
      <w:kern w:val="2"/>
      <w:sz w:val="28"/>
    </w:rPr>
  </w:style>
  <w:style w:type="paragraph" w:customStyle="1" w:styleId="27">
    <w:name w:val="目录 53"/>
    <w:basedOn w:val="1"/>
    <w:next w:val="1"/>
    <w:qFormat/>
    <w:uiPriority w:val="0"/>
    <w:pPr>
      <w:ind w:left="840"/>
    </w:pPr>
    <w:rPr>
      <w:rFonts w:cs="宋体"/>
      <w:color w:val="000000"/>
    </w:rPr>
  </w:style>
  <w:style w:type="paragraph" w:customStyle="1" w:styleId="28">
    <w:name w:val="正文1"/>
    <w:qFormat/>
    <w:uiPriority w:val="0"/>
    <w:pPr>
      <w:spacing w:line="520" w:lineRule="exact"/>
      <w:ind w:firstLine="1128" w:firstLineChars="200"/>
      <w:jc w:val="both"/>
    </w:pPr>
    <w:rPr>
      <w:rFonts w:ascii="Times New Roman" w:hAnsi="Times New Roman" w:eastAsia="宋体" w:cs="Times New Roman"/>
      <w:kern w:val="2"/>
      <w:sz w:val="24"/>
      <w:szCs w:val="24"/>
      <w:lang w:val="en-US" w:eastAsia="zh-CN" w:bidi="ar-SA"/>
    </w:rPr>
  </w:style>
  <w:style w:type="character" w:customStyle="1" w:styleId="29">
    <w:name w:val="标题 1 Char"/>
    <w:link w:val="4"/>
    <w:qFormat/>
    <w:uiPriority w:val="0"/>
    <w:rPr>
      <w:b/>
      <w:bCs/>
      <w:kern w:val="44"/>
      <w:sz w:val="44"/>
      <w:szCs w:val="44"/>
    </w:rPr>
  </w:style>
  <w:style w:type="character" w:customStyle="1" w:styleId="30">
    <w:name w:val="标题 2 Char"/>
    <w:link w:val="5"/>
    <w:qFormat/>
    <w:locked/>
    <w:uiPriority w:val="0"/>
    <w:rPr>
      <w:rFonts w:ascii="宋体" w:hAnsi="宋体" w:eastAsia="宋体" w:cs="宋体"/>
      <w:b/>
      <w:bCs/>
      <w:sz w:val="36"/>
      <w:szCs w:val="36"/>
      <w:lang w:val="en-US" w:eastAsia="zh-CN" w:bidi="ar-SA"/>
    </w:rPr>
  </w:style>
  <w:style w:type="character" w:customStyle="1" w:styleId="31">
    <w:name w:val="正文缩进 Char"/>
    <w:link w:val="2"/>
    <w:qFormat/>
    <w:locked/>
    <w:uiPriority w:val="0"/>
    <w:rPr>
      <w:rFonts w:eastAsia="宋体"/>
      <w:sz w:val="24"/>
      <w:lang w:bidi="ar-SA"/>
    </w:rPr>
  </w:style>
  <w:style w:type="character" w:customStyle="1" w:styleId="32">
    <w:name w:val="批注文字 Char"/>
    <w:basedOn w:val="19"/>
    <w:link w:val="6"/>
    <w:qFormat/>
    <w:locked/>
    <w:uiPriority w:val="0"/>
    <w:rPr>
      <w:rFonts w:eastAsia="宋体"/>
      <w:kern w:val="2"/>
      <w:sz w:val="21"/>
      <w:szCs w:val="21"/>
      <w:lang w:val="en-US" w:eastAsia="zh-CN" w:bidi="ar-SA"/>
    </w:rPr>
  </w:style>
  <w:style w:type="character" w:customStyle="1" w:styleId="33">
    <w:name w:val="日期 Char"/>
    <w:link w:val="9"/>
    <w:semiHidden/>
    <w:qFormat/>
    <w:locked/>
    <w:uiPriority w:val="0"/>
    <w:rPr>
      <w:rFonts w:cs="Times New Roman"/>
      <w:kern w:val="2"/>
      <w:sz w:val="24"/>
      <w:szCs w:val="24"/>
    </w:rPr>
  </w:style>
  <w:style w:type="character" w:customStyle="1" w:styleId="34">
    <w:name w:val="正文文本缩进 2 Char"/>
    <w:basedOn w:val="19"/>
    <w:link w:val="10"/>
    <w:qFormat/>
    <w:locked/>
    <w:uiPriority w:val="0"/>
    <w:rPr>
      <w:rFonts w:eastAsia="方正仿宋_GBK"/>
      <w:kern w:val="2"/>
      <w:sz w:val="21"/>
      <w:szCs w:val="24"/>
      <w:lang w:val="en-US" w:eastAsia="zh-CN" w:bidi="ar-SA"/>
    </w:rPr>
  </w:style>
  <w:style w:type="character" w:customStyle="1" w:styleId="35">
    <w:name w:val="页脚 Char1"/>
    <w:link w:val="12"/>
    <w:qFormat/>
    <w:locked/>
    <w:uiPriority w:val="0"/>
    <w:rPr>
      <w:kern w:val="2"/>
      <w:sz w:val="18"/>
    </w:rPr>
  </w:style>
  <w:style w:type="character" w:customStyle="1" w:styleId="36">
    <w:name w:val="页眉 Char"/>
    <w:link w:val="13"/>
    <w:qFormat/>
    <w:locked/>
    <w:uiPriority w:val="0"/>
    <w:rPr>
      <w:rFonts w:cs="Times New Roman"/>
      <w:kern w:val="2"/>
      <w:sz w:val="18"/>
    </w:rPr>
  </w:style>
  <w:style w:type="character" w:customStyle="1" w:styleId="37">
    <w:name w:val="font12"/>
    <w:qFormat/>
    <w:uiPriority w:val="0"/>
    <w:rPr>
      <w:rFonts w:ascii="宋体" w:hAnsi="宋体" w:eastAsia="宋体" w:cs="宋体"/>
      <w:color w:val="000000"/>
      <w:sz w:val="22"/>
      <w:szCs w:val="22"/>
      <w:u w:val="none"/>
    </w:rPr>
  </w:style>
  <w:style w:type="character" w:customStyle="1" w:styleId="38">
    <w:name w:val="font101"/>
    <w:qFormat/>
    <w:uiPriority w:val="0"/>
    <w:rPr>
      <w:rFonts w:ascii="Times New Roman" w:hAnsi="Times New Roman" w:cs="Times New Roman"/>
      <w:color w:val="000000"/>
      <w:sz w:val="18"/>
      <w:szCs w:val="18"/>
      <w:u w:val="none"/>
    </w:rPr>
  </w:style>
  <w:style w:type="character" w:customStyle="1" w:styleId="39">
    <w:name w:val="Footer Char"/>
    <w:qFormat/>
    <w:locked/>
    <w:uiPriority w:val="0"/>
    <w:rPr>
      <w:rFonts w:cs="Times New Roman"/>
      <w:sz w:val="18"/>
      <w:szCs w:val="18"/>
    </w:rPr>
  </w:style>
  <w:style w:type="character" w:customStyle="1" w:styleId="40">
    <w:name w:val="font111"/>
    <w:qFormat/>
    <w:uiPriority w:val="0"/>
    <w:rPr>
      <w:rFonts w:ascii="Times New Roman" w:hAnsi="Times New Roman" w:cs="Times New Roman"/>
      <w:color w:val="000000"/>
      <w:sz w:val="22"/>
      <w:szCs w:val="22"/>
      <w:u w:val="none"/>
    </w:rPr>
  </w:style>
  <w:style w:type="character" w:customStyle="1" w:styleId="41">
    <w:name w:val="font151"/>
    <w:qFormat/>
    <w:uiPriority w:val="0"/>
    <w:rPr>
      <w:rFonts w:ascii="宋体" w:hAnsi="宋体" w:eastAsia="宋体" w:cs="宋体"/>
      <w:color w:val="000000"/>
      <w:sz w:val="21"/>
      <w:szCs w:val="21"/>
      <w:u w:val="none"/>
    </w:rPr>
  </w:style>
  <w:style w:type="character" w:customStyle="1" w:styleId="42">
    <w:name w:val="font61"/>
    <w:qFormat/>
    <w:uiPriority w:val="0"/>
    <w:rPr>
      <w:rFonts w:ascii="宋体" w:hAnsi="宋体" w:eastAsia="宋体" w:cs="宋体"/>
      <w:color w:val="000000"/>
      <w:sz w:val="18"/>
      <w:szCs w:val="18"/>
      <w:u w:val="none"/>
    </w:rPr>
  </w:style>
  <w:style w:type="paragraph" w:customStyle="1" w:styleId="43">
    <w:name w:val="Char"/>
    <w:basedOn w:val="1"/>
    <w:qFormat/>
    <w:uiPriority w:val="0"/>
    <w:pPr>
      <w:tabs>
        <w:tab w:val="left" w:pos="0"/>
      </w:tabs>
    </w:pPr>
  </w:style>
  <w:style w:type="paragraph" w:customStyle="1" w:styleId="44">
    <w:name w:val="Char Char Char Char"/>
    <w:basedOn w:val="1"/>
    <w:qFormat/>
    <w:uiPriority w:val="0"/>
    <w:pPr>
      <w:spacing w:line="360" w:lineRule="auto"/>
      <w:ind w:firstLine="200" w:firstLineChars="200"/>
    </w:pPr>
    <w:rPr>
      <w:rFonts w:ascii="宋体" w:hAnsi="宋体" w:cs="宋体"/>
      <w:sz w:val="24"/>
      <w:szCs w:val="20"/>
    </w:rPr>
  </w:style>
  <w:style w:type="paragraph" w:customStyle="1" w:styleId="45">
    <w:name w:val="_Style 33"/>
    <w:basedOn w:val="1"/>
    <w:qFormat/>
    <w:uiPriority w:val="0"/>
    <w:pPr>
      <w:spacing w:line="360" w:lineRule="auto"/>
      <w:ind w:firstLine="200" w:firstLineChars="200"/>
    </w:pPr>
    <w:rPr>
      <w:rFonts w:ascii="宋体" w:hAnsi="宋体" w:cs="宋体"/>
      <w:sz w:val="24"/>
      <w:szCs w:val="20"/>
    </w:rPr>
  </w:style>
  <w:style w:type="paragraph" w:customStyle="1" w:styleId="46">
    <w:name w:val="标准文字"/>
    <w:basedOn w:val="1"/>
    <w:qFormat/>
    <w:uiPriority w:val="0"/>
    <w:pPr>
      <w:overflowPunct w:val="0"/>
      <w:adjustRightInd w:val="0"/>
      <w:snapToGrid w:val="0"/>
      <w:spacing w:line="360" w:lineRule="auto"/>
      <w:ind w:firstLine="200" w:firstLineChars="200"/>
    </w:pPr>
    <w:rPr>
      <w:kern w:val="0"/>
      <w:sz w:val="28"/>
      <w:szCs w:val="21"/>
    </w:rPr>
  </w:style>
  <w:style w:type="paragraph" w:styleId="47">
    <w:name w:val="List Paragraph"/>
    <w:basedOn w:val="1"/>
    <w:qFormat/>
    <w:uiPriority w:val="34"/>
    <w:pPr>
      <w:ind w:firstLine="420" w:firstLineChars="200"/>
    </w:pPr>
  </w:style>
  <w:style w:type="paragraph" w:customStyle="1" w:styleId="48">
    <w:name w:val="Char Char Char Char Char Char Char"/>
    <w:basedOn w:val="1"/>
    <w:qFormat/>
    <w:uiPriority w:val="0"/>
  </w:style>
  <w:style w:type="paragraph" w:customStyle="1" w:styleId="49">
    <w:name w:val="Char1"/>
    <w:basedOn w:val="1"/>
    <w:qFormat/>
    <w:uiPriority w:val="0"/>
  </w:style>
  <w:style w:type="paragraph" w:customStyle="1" w:styleId="50">
    <w:name w:val="列出段落1"/>
    <w:basedOn w:val="1"/>
    <w:qFormat/>
    <w:uiPriority w:val="0"/>
    <w:pPr>
      <w:ind w:firstLine="420" w:firstLineChars="200"/>
    </w:pPr>
    <w:rPr>
      <w:rFonts w:ascii="Calibri" w:hAnsi="Calibri"/>
      <w:szCs w:val="22"/>
    </w:rPr>
  </w:style>
  <w:style w:type="character" w:customStyle="1" w:styleId="51">
    <w:name w:val="apple-converted-space"/>
    <w:qFormat/>
    <w:uiPriority w:val="0"/>
    <w:rPr>
      <w:rFonts w:cs="Times New Roman"/>
    </w:rPr>
  </w:style>
  <w:style w:type="character" w:customStyle="1" w:styleId="52">
    <w:name w:val="NormalCharacter"/>
    <w:semiHidden/>
    <w:qFormat/>
    <w:uiPriority w:val="0"/>
  </w:style>
  <w:style w:type="paragraph" w:customStyle="1" w:styleId="53">
    <w:name w:val="BodyTextIndent2"/>
    <w:basedOn w:val="1"/>
    <w:qFormat/>
    <w:uiPriority w:val="0"/>
    <w:pPr>
      <w:widowControl/>
      <w:spacing w:line="590" w:lineRule="exact"/>
      <w:ind w:firstLine="880" w:firstLineChars="200"/>
      <w:textAlignment w:val="baseline"/>
    </w:pPr>
    <w:rPr>
      <w:rFonts w:eastAsia="方正仿宋_GBK"/>
      <w:szCs w:val="22"/>
    </w:rPr>
  </w:style>
  <w:style w:type="paragraph" w:customStyle="1" w:styleId="54">
    <w:name w:val="Char Char Char Char Char Char1 Char Char Char Char Char Char Char Char Char Char Char Char Char"/>
    <w:basedOn w:val="1"/>
    <w:qFormat/>
    <w:uiPriority w:val="0"/>
    <w:pPr>
      <w:widowControl/>
      <w:spacing w:after="160" w:line="240" w:lineRule="exact"/>
      <w:jc w:val="left"/>
    </w:pPr>
  </w:style>
  <w:style w:type="paragraph" w:customStyle="1" w:styleId="55">
    <w:name w:val="p0"/>
    <w:basedOn w:val="1"/>
    <w:qFormat/>
    <w:uiPriority w:val="0"/>
    <w:pPr>
      <w:widowControl/>
      <w:spacing w:line="365" w:lineRule="atLeast"/>
      <w:ind w:left="1"/>
    </w:pPr>
    <w:rPr>
      <w:rFonts w:ascii="Calibri" w:hAnsi="Calibri"/>
      <w:kern w:val="0"/>
      <w:sz w:val="20"/>
      <w:szCs w:val="20"/>
    </w:rPr>
  </w:style>
  <w:style w:type="character" w:customStyle="1" w:styleId="56">
    <w:name w:val="font11"/>
    <w:qFormat/>
    <w:uiPriority w:val="0"/>
    <w:rPr>
      <w:rFonts w:hint="eastAsia" w:ascii="仿宋_GB2312" w:eastAsia="仿宋_GB2312" w:cs="仿宋_GB2312"/>
      <w:color w:val="000000"/>
      <w:sz w:val="24"/>
      <w:szCs w:val="24"/>
      <w:u w:val="none"/>
      <w:vertAlign w:val="superscript"/>
    </w:rPr>
  </w:style>
  <w:style w:type="character" w:customStyle="1" w:styleId="57">
    <w:name w:val="font41"/>
    <w:qFormat/>
    <w:uiPriority w:val="0"/>
    <w:rPr>
      <w:rFonts w:hint="eastAsia" w:ascii="宋体" w:hAnsi="宋体" w:eastAsia="宋体" w:cs="宋体"/>
      <w:color w:val="000000"/>
      <w:sz w:val="24"/>
      <w:szCs w:val="24"/>
      <w:u w:val="none"/>
    </w:rPr>
  </w:style>
  <w:style w:type="character" w:customStyle="1" w:styleId="58">
    <w:name w:val="font51"/>
    <w:qFormat/>
    <w:uiPriority w:val="0"/>
    <w:rPr>
      <w:rFonts w:ascii="Malgun Gothic Semilight" w:hAnsi="Malgun Gothic Semilight" w:eastAsia="Malgun Gothic Semilight" w:cs="Malgun Gothic Semilight"/>
      <w:color w:val="000000"/>
      <w:sz w:val="24"/>
      <w:szCs w:val="24"/>
      <w:u w:val="none"/>
    </w:rPr>
  </w:style>
  <w:style w:type="character" w:customStyle="1" w:styleId="59">
    <w:name w:val="font31"/>
    <w:qFormat/>
    <w:uiPriority w:val="0"/>
    <w:rPr>
      <w:rFonts w:hint="eastAsia" w:ascii="仿宋_GB2312" w:eastAsia="仿宋_GB2312" w:cs="仿宋_GB2312"/>
      <w:color w:val="000000"/>
      <w:sz w:val="24"/>
      <w:szCs w:val="24"/>
      <w:u w:val="none"/>
    </w:rPr>
  </w:style>
  <w:style w:type="character" w:customStyle="1" w:styleId="60">
    <w:name w:val="Char Char1"/>
    <w:qFormat/>
    <w:uiPriority w:val="0"/>
    <w:rPr>
      <w:sz w:val="18"/>
      <w:szCs w:val="18"/>
    </w:rPr>
  </w:style>
  <w:style w:type="character" w:customStyle="1" w:styleId="61">
    <w:name w:val="页脚 Char"/>
    <w:basedOn w:val="19"/>
    <w:qFormat/>
    <w:uiPriority w:val="99"/>
    <w:rPr>
      <w:sz w:val="18"/>
      <w:szCs w:val="18"/>
    </w:rPr>
  </w:style>
  <w:style w:type="paragraph" w:customStyle="1" w:styleId="62">
    <w:name w:val="Char2"/>
    <w:basedOn w:val="1"/>
    <w:qFormat/>
    <w:uiPriority w:val="0"/>
    <w:pPr>
      <w:tabs>
        <w:tab w:val="left" w:pos="0"/>
      </w:tabs>
    </w:pPr>
  </w:style>
  <w:style w:type="paragraph" w:customStyle="1" w:styleId="63">
    <w:name w:val="列出段落11"/>
    <w:basedOn w:val="1"/>
    <w:qFormat/>
    <w:uiPriority w:val="0"/>
    <w:pPr>
      <w:widowControl/>
      <w:spacing w:line="600" w:lineRule="exact"/>
      <w:ind w:firstLine="420" w:firstLineChars="200"/>
      <w:jc w:val="center"/>
    </w:pPr>
    <w:rPr>
      <w:rFonts w:ascii="Calibri" w:hAnsi="Calibri"/>
      <w:szCs w:val="22"/>
    </w:rPr>
  </w:style>
  <w:style w:type="paragraph" w:customStyle="1" w:styleId="64">
    <w:name w:val="Body text|1"/>
    <w:basedOn w:val="1"/>
    <w:qFormat/>
    <w:uiPriority w:val="0"/>
    <w:pPr>
      <w:spacing w:after="240" w:line="427" w:lineRule="auto"/>
      <w:ind w:firstLine="400"/>
    </w:pPr>
    <w:rPr>
      <w:rFonts w:ascii="宋体" w:hAnsi="宋体" w:cs="宋体"/>
      <w:sz w:val="30"/>
      <w:szCs w:val="30"/>
      <w:lang w:val="zh-TW" w:eastAsia="zh-TW"/>
    </w:rPr>
  </w:style>
  <w:style w:type="character" w:customStyle="1" w:styleId="65">
    <w:name w:val="Header Char"/>
    <w:basedOn w:val="19"/>
    <w:qFormat/>
    <w:locked/>
    <w:uiPriority w:val="0"/>
    <w:rPr>
      <w:rFonts w:cs="Times New Roman"/>
      <w:sz w:val="18"/>
      <w:szCs w:val="18"/>
    </w:rPr>
  </w:style>
  <w:style w:type="paragraph" w:customStyle="1" w:styleId="66">
    <w:name w:val="tb"/>
    <w:qFormat/>
    <w:uiPriority w:val="0"/>
    <w:pPr>
      <w:widowControl w:val="0"/>
      <w:spacing w:line="400" w:lineRule="atLeast"/>
      <w:jc w:val="both"/>
    </w:pPr>
    <w:rPr>
      <w:rFonts w:ascii="宋体" w:hAnsi="Arial" w:eastAsia="宋体" w:cs="Times New Roman"/>
      <w:kern w:val="2"/>
      <w:sz w:val="24"/>
      <w:szCs w:val="22"/>
      <w:lang w:val="en-US" w:eastAsia="zh-CN" w:bidi="ar-SA"/>
    </w:rPr>
  </w:style>
  <w:style w:type="paragraph" w:customStyle="1" w:styleId="67">
    <w:name w:val="公文标题1"/>
    <w:qFormat/>
    <w:uiPriority w:val="0"/>
    <w:pPr>
      <w:widowControl w:val="0"/>
      <w:adjustRightInd w:val="0"/>
      <w:spacing w:before="340" w:after="330" w:line="240" w:lineRule="atLeast"/>
      <w:ind w:firstLine="200" w:firstLineChars="200"/>
      <w:outlineLvl w:val="0"/>
    </w:pPr>
    <w:rPr>
      <w:rFonts w:ascii="Calibri" w:hAnsi="Calibri" w:eastAsia="华文中宋" w:cs="Times New Roman"/>
      <w:b/>
      <w:kern w:val="44"/>
      <w:sz w:val="36"/>
      <w:szCs w:val="22"/>
      <w:lang w:val="en-US" w:eastAsia="zh-CN" w:bidi="ar-SA"/>
    </w:rPr>
  </w:style>
  <w:style w:type="paragraph" w:customStyle="1" w:styleId="68">
    <w:name w:val="4级正文"/>
    <w:qFormat/>
    <w:uiPriority w:val="0"/>
    <w:pPr>
      <w:spacing w:line="580" w:lineRule="exact"/>
      <w:ind w:firstLine="200" w:firstLineChars="200"/>
    </w:pPr>
    <w:rPr>
      <w:rFonts w:ascii="仿宋_GB2312" w:hAnsi="仿宋_GB2312" w:eastAsia="仿宋_GB2312" w:cs="Times New Roman"/>
      <w:kern w:val="2"/>
      <w:sz w:val="32"/>
      <w:szCs w:val="22"/>
      <w:lang w:val="en-US" w:eastAsia="zh-CN" w:bidi="ar-SA"/>
    </w:rPr>
  </w:style>
  <w:style w:type="paragraph" w:customStyle="1" w:styleId="69">
    <w:name w:val="表内文字1"/>
    <w:basedOn w:val="1"/>
    <w:qFormat/>
    <w:uiPriority w:val="0"/>
    <w:pPr>
      <w:adjustRightInd w:val="0"/>
      <w:snapToGrid w:val="0"/>
      <w:jc w:val="center"/>
    </w:pPr>
    <w:rPr>
      <w:snapToGrid w:val="0"/>
      <w:kern w:val="0"/>
      <w:szCs w:val="20"/>
    </w:rPr>
  </w:style>
  <w:style w:type="character" w:customStyle="1" w:styleId="70">
    <w:name w:val="15"/>
    <w:qFormat/>
    <w:uiPriority w:val="0"/>
    <w:rPr>
      <w:rFonts w:hint="default" w:ascii="Times New Roman" w:hAnsi="Times New Roman" w:eastAsia="宋体" w:cs="Times New Roman"/>
      <w:color w:val="0000FF"/>
      <w:u w:val="single"/>
    </w:rPr>
  </w:style>
  <w:style w:type="paragraph" w:customStyle="1" w:styleId="71">
    <w:name w:val="正文（公文）"/>
    <w:basedOn w:val="1"/>
    <w:qFormat/>
    <w:uiPriority w:val="0"/>
    <w:pPr>
      <w:spacing w:line="580" w:lineRule="exact"/>
      <w:ind w:firstLine="420"/>
    </w:pPr>
    <w:rPr>
      <w:rFonts w:ascii="Calibri" w:hAnsi="Calibri" w:eastAsia="方正仿宋_GBK"/>
      <w:sz w:val="32"/>
    </w:rPr>
  </w:style>
  <w:style w:type="paragraph" w:customStyle="1" w:styleId="72">
    <w:name w:val="Char Char2"/>
    <w:basedOn w:val="1"/>
    <w:qFormat/>
    <w:uiPriority w:val="0"/>
    <w:pPr>
      <w:tabs>
        <w:tab w:val="left" w:pos="0"/>
      </w:tabs>
    </w:pPr>
  </w:style>
  <w:style w:type="paragraph" w:customStyle="1" w:styleId="73">
    <w:name w:val="文华表正文"/>
    <w:basedOn w:val="74"/>
    <w:qFormat/>
    <w:uiPriority w:val="0"/>
    <w:pPr>
      <w:ind w:firstLine="480"/>
    </w:pPr>
    <w:rPr>
      <w:rFonts w:hAnsi="宋体"/>
    </w:rPr>
  </w:style>
  <w:style w:type="paragraph" w:customStyle="1" w:styleId="74">
    <w:name w:val="报告表正文"/>
    <w:basedOn w:val="1"/>
    <w:qFormat/>
    <w:uiPriority w:val="0"/>
    <w:pPr>
      <w:spacing w:line="360" w:lineRule="auto"/>
      <w:ind w:firstLine="200" w:firstLineChars="200"/>
    </w:pPr>
    <w:rPr>
      <w:sz w:val="24"/>
    </w:rPr>
  </w:style>
  <w:style w:type="table" w:customStyle="1" w:styleId="75">
    <w:name w:val="网格型1"/>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6">
    <w:name w:val="批注框文本 Char"/>
    <w:basedOn w:val="19"/>
    <w:link w:val="11"/>
    <w:qFormat/>
    <w:uiPriority w:val="0"/>
    <w:rPr>
      <w:kern w:val="2"/>
      <w:sz w:val="18"/>
      <w:szCs w:val="18"/>
    </w:rPr>
  </w:style>
  <w:style w:type="character" w:customStyle="1" w:styleId="77">
    <w:name w:val="正文文本缩进 Char"/>
    <w:basedOn w:val="19"/>
    <w:link w:val="8"/>
    <w:qFormat/>
    <w:uiPriority w:val="0"/>
    <w:rPr>
      <w:kern w:val="2"/>
      <w:sz w:val="21"/>
      <w:szCs w:val="24"/>
    </w:rPr>
  </w:style>
  <w:style w:type="character" w:customStyle="1" w:styleId="78">
    <w:name w:val="正文首行缩进 2 Char"/>
    <w:basedOn w:val="77"/>
    <w:link w:val="16"/>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Pages>
  <Words>598</Words>
  <Characters>3411</Characters>
  <Lines>28</Lines>
  <Paragraphs>8</Paragraphs>
  <TotalTime>1</TotalTime>
  <ScaleCrop>false</ScaleCrop>
  <LinksUpToDate>false</LinksUpToDate>
  <CharactersWithSpaces>4001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2025-06-26T10:16:00Z</dcterms:created>
  <dc:creator>雨林木风</dc:creator>
  <cp:lastModifiedBy>wyk</cp:lastModifiedBy>
  <cp:lastPrinted>2025-06-26T10:20:00Z</cp:lastPrinted>
  <dcterms:modified xsi:type="dcterms:W3CDTF">2025-06-26T15:14:19Z</dcterms:modified>
  <dc:title>黄环〔2011〕8号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