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8C61CA" w:rsidRDefault="00EE433E" w:rsidP="00111B02">
      <w:pPr>
        <w:spacing w:beforeLines="1000" w:before="3120" w:afterLines="200" w:after="624" w:line="560" w:lineRule="exact"/>
        <w:ind w:rightChars="-159" w:right="-334"/>
        <w:jc w:val="center"/>
        <w:rPr>
          <w:rFonts w:eastAsia="方正小标宋_GBK"/>
          <w:color w:val="000000" w:themeColor="text1"/>
          <w:sz w:val="44"/>
          <w:szCs w:val="44"/>
        </w:rPr>
      </w:pPr>
      <w:r w:rsidRPr="008C61CA">
        <w:rPr>
          <w:rFonts w:eastAsia="仿宋_GB2312"/>
          <w:color w:val="000000" w:themeColor="text1"/>
          <w:sz w:val="32"/>
          <w:szCs w:val="32"/>
        </w:rPr>
        <w:t>黄</w:t>
      </w:r>
      <w:r w:rsidR="008A4394" w:rsidRPr="008C61CA">
        <w:rPr>
          <w:rFonts w:eastAsia="仿宋_GB2312"/>
          <w:color w:val="000000" w:themeColor="text1"/>
          <w:sz w:val="32"/>
          <w:szCs w:val="32"/>
        </w:rPr>
        <w:t>环</w:t>
      </w:r>
      <w:bookmarkStart w:id="0" w:name="_GoBack"/>
      <w:bookmarkEnd w:id="0"/>
      <w:r w:rsidR="00C61281" w:rsidRPr="008C61CA">
        <w:rPr>
          <w:rFonts w:eastAsia="仿宋_GB2312"/>
          <w:color w:val="000000" w:themeColor="text1"/>
          <w:sz w:val="32"/>
          <w:szCs w:val="32"/>
        </w:rPr>
        <w:t>建函〔</w:t>
      </w:r>
      <w:r w:rsidR="00C61281" w:rsidRPr="008C61CA">
        <w:rPr>
          <w:rFonts w:eastAsia="仿宋_GB2312"/>
          <w:color w:val="000000" w:themeColor="text1"/>
          <w:sz w:val="32"/>
          <w:szCs w:val="32"/>
        </w:rPr>
        <w:t>202</w:t>
      </w:r>
      <w:r w:rsidR="00165D45" w:rsidRPr="008C61CA">
        <w:rPr>
          <w:rFonts w:eastAsia="仿宋_GB2312"/>
          <w:color w:val="000000" w:themeColor="text1"/>
          <w:sz w:val="32"/>
          <w:szCs w:val="32"/>
        </w:rPr>
        <w:t>5</w:t>
      </w:r>
      <w:r w:rsidR="00C61281" w:rsidRPr="008C61CA">
        <w:rPr>
          <w:rFonts w:eastAsia="仿宋_GB2312"/>
          <w:color w:val="000000" w:themeColor="text1"/>
          <w:sz w:val="32"/>
          <w:szCs w:val="32"/>
        </w:rPr>
        <w:t>〕</w:t>
      </w:r>
      <w:r w:rsidR="00434D79" w:rsidRPr="008C61CA">
        <w:rPr>
          <w:rFonts w:eastAsia="仿宋_GB2312"/>
          <w:color w:val="000000" w:themeColor="text1"/>
          <w:sz w:val="32"/>
          <w:szCs w:val="32"/>
        </w:rPr>
        <w:t>1</w:t>
      </w:r>
      <w:r w:rsidR="008C61CA" w:rsidRPr="008C61CA">
        <w:rPr>
          <w:rFonts w:eastAsia="仿宋_GB2312"/>
          <w:color w:val="000000" w:themeColor="text1"/>
          <w:sz w:val="32"/>
          <w:szCs w:val="32"/>
        </w:rPr>
        <w:t>2</w:t>
      </w:r>
      <w:r w:rsidR="00C61281" w:rsidRPr="008C61CA">
        <w:rPr>
          <w:rFonts w:eastAsia="仿宋_GB2312"/>
          <w:color w:val="000000" w:themeColor="text1"/>
          <w:sz w:val="32"/>
          <w:szCs w:val="32"/>
        </w:rPr>
        <w:t>号</w:t>
      </w:r>
    </w:p>
    <w:p w:rsidR="008C61CA" w:rsidRPr="008C61CA" w:rsidRDefault="008C61CA" w:rsidP="008C61CA">
      <w:pPr>
        <w:spacing w:line="520" w:lineRule="exact"/>
        <w:jc w:val="center"/>
        <w:rPr>
          <w:rFonts w:eastAsia="方正小标宋简体"/>
          <w:spacing w:val="-12"/>
          <w:sz w:val="44"/>
          <w:szCs w:val="44"/>
        </w:rPr>
      </w:pPr>
      <w:r w:rsidRPr="008C61CA">
        <w:rPr>
          <w:rFonts w:eastAsia="方正小标宋简体"/>
          <w:spacing w:val="-12"/>
          <w:sz w:val="44"/>
          <w:szCs w:val="44"/>
        </w:rPr>
        <w:t>关于黄山市新安江屯溪段水域生态修复</w:t>
      </w:r>
    </w:p>
    <w:p w:rsidR="008C61CA" w:rsidRPr="008C61CA" w:rsidRDefault="008C61CA" w:rsidP="008C61CA">
      <w:pPr>
        <w:spacing w:line="520" w:lineRule="exact"/>
        <w:jc w:val="center"/>
        <w:rPr>
          <w:rFonts w:eastAsia="方正小标宋简体"/>
          <w:spacing w:val="-12"/>
          <w:sz w:val="44"/>
          <w:szCs w:val="44"/>
        </w:rPr>
      </w:pPr>
      <w:r w:rsidRPr="008C61CA">
        <w:rPr>
          <w:rFonts w:eastAsia="方正小标宋简体"/>
          <w:spacing w:val="-12"/>
          <w:sz w:val="44"/>
          <w:szCs w:val="44"/>
        </w:rPr>
        <w:t>与蓝藻水华风险防控项目环境</w:t>
      </w:r>
    </w:p>
    <w:p w:rsidR="008C61CA" w:rsidRPr="008C61CA" w:rsidRDefault="008C61CA" w:rsidP="008C61CA">
      <w:pPr>
        <w:spacing w:line="520" w:lineRule="exact"/>
        <w:jc w:val="center"/>
        <w:rPr>
          <w:rFonts w:eastAsia="方正小标宋简体"/>
          <w:spacing w:val="-12"/>
          <w:sz w:val="44"/>
          <w:szCs w:val="44"/>
        </w:rPr>
      </w:pPr>
      <w:r w:rsidRPr="008C61CA">
        <w:rPr>
          <w:rFonts w:eastAsia="方正小标宋简体"/>
          <w:spacing w:val="-12"/>
          <w:sz w:val="44"/>
          <w:szCs w:val="44"/>
        </w:rPr>
        <w:t>影响报告书的批复</w:t>
      </w:r>
    </w:p>
    <w:p w:rsidR="008C61CA" w:rsidRPr="008C61CA" w:rsidRDefault="008C61CA" w:rsidP="008C61CA">
      <w:pPr>
        <w:adjustRightInd w:val="0"/>
        <w:snapToGrid w:val="0"/>
        <w:spacing w:line="520" w:lineRule="exact"/>
        <w:ind w:firstLineChars="200" w:firstLine="618"/>
        <w:rPr>
          <w:rFonts w:eastAsia="仿宋_GB2312"/>
          <w:b/>
          <w:bCs/>
          <w:spacing w:val="-6"/>
          <w:sz w:val="32"/>
          <w:szCs w:val="32"/>
        </w:rPr>
      </w:pPr>
    </w:p>
    <w:p w:rsidR="008C61CA" w:rsidRPr="008C61CA" w:rsidRDefault="008C61CA" w:rsidP="008C61CA">
      <w:pPr>
        <w:spacing w:line="520" w:lineRule="exact"/>
        <w:rPr>
          <w:rFonts w:eastAsia="仿宋_GB2312"/>
          <w:sz w:val="32"/>
          <w:szCs w:val="32"/>
        </w:rPr>
      </w:pPr>
      <w:r w:rsidRPr="008C61CA">
        <w:rPr>
          <w:rFonts w:eastAsia="仿宋_GB2312"/>
          <w:sz w:val="32"/>
          <w:szCs w:val="32"/>
        </w:rPr>
        <w:t>黄山市屯溪区阳湖镇人民政府：</w:t>
      </w:r>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你单位报来黄山市新安江屯溪段水域生态修复与蓝藻水华风险防控项目《行政许可申请书》和安徽环境科技研究院股份有限公司编制的《黄山市新安江屯溪段水域生态修复与蓝藻水华风险防控项目环境影响报告书》（以下简称《报告书》）收悉。安徽省林业局出具《关于黄山市新安江屯溪段水域生态修复与蓝藻水华风险防控项目在安徽屯溪三江省级湿地公园选址方案的复函》（</w:t>
      </w:r>
      <w:proofErr w:type="gramStart"/>
      <w:r w:rsidRPr="008C61CA">
        <w:rPr>
          <w:rFonts w:eastAsia="仿宋_GB2312"/>
          <w:sz w:val="32"/>
          <w:szCs w:val="32"/>
        </w:rPr>
        <w:t>办湿函</w:t>
      </w:r>
      <w:proofErr w:type="gramEnd"/>
      <w:r w:rsidRPr="008C61CA">
        <w:rPr>
          <w:rFonts w:eastAsia="仿宋_GB2312"/>
          <w:sz w:val="32"/>
          <w:szCs w:val="32"/>
        </w:rPr>
        <w:t>〔</w:t>
      </w:r>
      <w:r w:rsidRPr="008C61CA">
        <w:rPr>
          <w:rFonts w:eastAsia="仿宋_GB2312"/>
          <w:sz w:val="32"/>
          <w:szCs w:val="32"/>
        </w:rPr>
        <w:t>2024</w:t>
      </w:r>
      <w:r w:rsidRPr="008C61CA">
        <w:rPr>
          <w:rFonts w:eastAsia="仿宋_GB2312"/>
          <w:sz w:val="32"/>
          <w:szCs w:val="32"/>
        </w:rPr>
        <w:t>〕</w:t>
      </w:r>
      <w:r w:rsidRPr="008C61CA">
        <w:rPr>
          <w:rFonts w:eastAsia="仿宋_GB2312"/>
          <w:sz w:val="32"/>
          <w:szCs w:val="32"/>
        </w:rPr>
        <w:t>42</w:t>
      </w:r>
      <w:r w:rsidRPr="008C61CA">
        <w:rPr>
          <w:rFonts w:eastAsia="仿宋_GB2312"/>
          <w:sz w:val="32"/>
          <w:szCs w:val="32"/>
        </w:rPr>
        <w:t>号），原则同意项目在安徽屯溪三江省级湿地公园的选址方案。黄山市自然资源和规划局出具《关于反馈黄山市新安江屯溪段水域生态修复与蓝藻水华风险防控项目涉及生态保护红线与永久基本农田意见的复函》</w:t>
      </w:r>
      <w:r w:rsidRPr="008C61CA">
        <w:rPr>
          <w:rFonts w:eastAsia="仿宋_GB2312"/>
          <w:sz w:val="32"/>
          <w:szCs w:val="32"/>
        </w:rPr>
        <w:t>,</w:t>
      </w:r>
      <w:r w:rsidRPr="008C61CA">
        <w:rPr>
          <w:rFonts w:eastAsia="仿宋_GB2312"/>
          <w:sz w:val="32"/>
          <w:szCs w:val="32"/>
        </w:rPr>
        <w:t>认为符合</w:t>
      </w:r>
      <w:proofErr w:type="gramStart"/>
      <w:r w:rsidRPr="008C61CA">
        <w:rPr>
          <w:rFonts w:eastAsia="仿宋_GB2312"/>
          <w:sz w:val="32"/>
          <w:szCs w:val="32"/>
        </w:rPr>
        <w:t>《</w:t>
      </w:r>
      <w:proofErr w:type="gramEnd"/>
      <w:r w:rsidRPr="008C61CA">
        <w:rPr>
          <w:rFonts w:eastAsia="仿宋_GB2312"/>
          <w:sz w:val="32"/>
          <w:szCs w:val="32"/>
        </w:rPr>
        <w:t>自然资源部生态环境部国家林业和草原局关于加强生态保护红线管理的通知</w:t>
      </w:r>
      <w:r w:rsidRPr="008C61CA">
        <w:rPr>
          <w:rFonts w:eastAsia="仿宋_GB2312"/>
          <w:sz w:val="32"/>
          <w:szCs w:val="32"/>
        </w:rPr>
        <w:lastRenderedPageBreak/>
        <w:t>(</w:t>
      </w:r>
      <w:r w:rsidRPr="008C61CA">
        <w:rPr>
          <w:rFonts w:eastAsia="仿宋_GB2312"/>
          <w:sz w:val="32"/>
          <w:szCs w:val="32"/>
        </w:rPr>
        <w:t>试行</w:t>
      </w:r>
      <w:r w:rsidRPr="008C61CA">
        <w:rPr>
          <w:rFonts w:eastAsia="仿宋_GB2312"/>
          <w:sz w:val="32"/>
          <w:szCs w:val="32"/>
        </w:rPr>
        <w:t>)(</w:t>
      </w:r>
      <w:r w:rsidRPr="008C61CA">
        <w:rPr>
          <w:rFonts w:eastAsia="仿宋_GB2312"/>
          <w:sz w:val="32"/>
          <w:szCs w:val="32"/>
        </w:rPr>
        <w:t>自然资发</w:t>
      </w:r>
      <w:r w:rsidRPr="008C61CA">
        <w:rPr>
          <w:rFonts w:eastAsia="仿宋_GB2312"/>
          <w:sz w:val="32"/>
          <w:szCs w:val="32"/>
        </w:rPr>
        <w:t>〔</w:t>
      </w:r>
      <w:r w:rsidRPr="008C61CA">
        <w:rPr>
          <w:rFonts w:eastAsia="仿宋_GB2312"/>
          <w:sz w:val="32"/>
          <w:szCs w:val="32"/>
        </w:rPr>
        <w:t>2022</w:t>
      </w:r>
      <w:r w:rsidRPr="008C61CA">
        <w:rPr>
          <w:rFonts w:eastAsia="仿宋_GB2312"/>
          <w:sz w:val="32"/>
          <w:szCs w:val="32"/>
        </w:rPr>
        <w:t>〕</w:t>
      </w:r>
      <w:r w:rsidRPr="008C61CA">
        <w:rPr>
          <w:rFonts w:eastAsia="仿宋_GB2312"/>
          <w:sz w:val="32"/>
          <w:szCs w:val="32"/>
        </w:rPr>
        <w:t>142</w:t>
      </w:r>
      <w:r w:rsidRPr="008C61CA">
        <w:rPr>
          <w:rFonts w:eastAsia="仿宋_GB2312"/>
          <w:sz w:val="32"/>
          <w:szCs w:val="32"/>
        </w:rPr>
        <w:t>号</w:t>
      </w:r>
      <w:r w:rsidRPr="008C61CA">
        <w:rPr>
          <w:rFonts w:eastAsia="仿宋_GB2312"/>
          <w:sz w:val="32"/>
          <w:szCs w:val="32"/>
        </w:rPr>
        <w:t>)</w:t>
      </w:r>
      <w:r w:rsidRPr="008C61CA">
        <w:rPr>
          <w:rFonts w:eastAsia="仿宋_GB2312"/>
          <w:sz w:val="32"/>
          <w:szCs w:val="32"/>
        </w:rPr>
        <w:t>文件中</w:t>
      </w:r>
      <w:r w:rsidRPr="008C61CA">
        <w:rPr>
          <w:rFonts w:eastAsia="仿宋_GB2312"/>
          <w:sz w:val="32"/>
          <w:szCs w:val="32"/>
        </w:rPr>
        <w:t>“</w:t>
      </w:r>
      <w:r w:rsidRPr="008C61CA">
        <w:rPr>
          <w:rFonts w:eastAsia="仿宋_GB2312"/>
          <w:sz w:val="32"/>
          <w:szCs w:val="32"/>
        </w:rPr>
        <w:t>依据县级以上国土空间规划和生态保护修复专项规划开展的生态修复</w:t>
      </w:r>
      <w:r w:rsidRPr="008C61CA">
        <w:rPr>
          <w:rFonts w:eastAsia="仿宋_GB2312"/>
          <w:sz w:val="32"/>
          <w:szCs w:val="32"/>
        </w:rPr>
        <w:t>”</w:t>
      </w:r>
      <w:r w:rsidRPr="008C61CA">
        <w:rPr>
          <w:rFonts w:eastAsia="仿宋_GB2312"/>
          <w:sz w:val="32"/>
          <w:szCs w:val="32"/>
        </w:rPr>
        <w:t>的生态保护红线内允许有限人为活动情形，原则同意该项目。经专家技术评审，并在黄山市生态环境局网站公示，公示期间公众无异议。经研究，现对</w:t>
      </w:r>
      <w:proofErr w:type="gramStart"/>
      <w:r w:rsidRPr="008C61CA">
        <w:rPr>
          <w:rFonts w:eastAsia="仿宋_GB2312"/>
          <w:sz w:val="32"/>
          <w:szCs w:val="32"/>
        </w:rPr>
        <w:t>《</w:t>
      </w:r>
      <w:proofErr w:type="gramEnd"/>
      <w:r w:rsidRPr="008C61CA">
        <w:rPr>
          <w:rFonts w:eastAsia="仿宋_GB2312"/>
          <w:sz w:val="32"/>
          <w:szCs w:val="32"/>
        </w:rPr>
        <w:t>报告书》批复如下：</w:t>
      </w:r>
    </w:p>
    <w:p w:rsidR="008C61CA" w:rsidRPr="008C61CA" w:rsidRDefault="008C61CA" w:rsidP="008C61CA">
      <w:pPr>
        <w:numPr>
          <w:ilvl w:val="0"/>
          <w:numId w:val="6"/>
        </w:numPr>
        <w:spacing w:line="520" w:lineRule="exact"/>
        <w:ind w:firstLineChars="200" w:firstLine="640"/>
        <w:rPr>
          <w:rFonts w:eastAsia="仿宋_GB2312"/>
          <w:sz w:val="32"/>
          <w:szCs w:val="32"/>
        </w:rPr>
      </w:pPr>
      <w:r w:rsidRPr="008C61CA">
        <w:rPr>
          <w:rFonts w:eastAsia="仿宋_GB2312"/>
          <w:sz w:val="32"/>
          <w:szCs w:val="32"/>
        </w:rPr>
        <w:t>本项目位于新安江屯溪</w:t>
      </w:r>
      <w:proofErr w:type="gramStart"/>
      <w:r w:rsidRPr="008C61CA">
        <w:rPr>
          <w:rFonts w:eastAsia="仿宋_GB2312"/>
          <w:sz w:val="32"/>
          <w:szCs w:val="32"/>
        </w:rPr>
        <w:t>段及其</w:t>
      </w:r>
      <w:proofErr w:type="gramEnd"/>
      <w:r w:rsidRPr="008C61CA">
        <w:rPr>
          <w:rFonts w:eastAsia="仿宋_GB2312"/>
          <w:sz w:val="32"/>
          <w:szCs w:val="32"/>
        </w:rPr>
        <w:t>支流水域及沿岸区域，项目总投资</w:t>
      </w:r>
      <w:r w:rsidRPr="008C61CA">
        <w:rPr>
          <w:rFonts w:eastAsia="仿宋_GB2312"/>
          <w:sz w:val="32"/>
          <w:szCs w:val="32"/>
        </w:rPr>
        <w:t>6512.48</w:t>
      </w:r>
      <w:r w:rsidRPr="008C61CA">
        <w:rPr>
          <w:rFonts w:eastAsia="仿宋_GB2312"/>
          <w:sz w:val="32"/>
          <w:szCs w:val="32"/>
        </w:rPr>
        <w:t>万元，均为环保投资。主要包括</w:t>
      </w:r>
      <w:bookmarkStart w:id="1" w:name="OLE_LINK12"/>
      <w:r w:rsidRPr="008C61CA">
        <w:rPr>
          <w:rFonts w:eastAsia="仿宋_GB2312"/>
          <w:sz w:val="32"/>
          <w:szCs w:val="32"/>
        </w:rPr>
        <w:t>（</w:t>
      </w:r>
      <w:r w:rsidRPr="008C61CA">
        <w:rPr>
          <w:rFonts w:eastAsia="仿宋_GB2312"/>
          <w:sz w:val="32"/>
          <w:szCs w:val="32"/>
        </w:rPr>
        <w:t>1</w:t>
      </w:r>
      <w:r w:rsidRPr="008C61CA">
        <w:rPr>
          <w:rFonts w:eastAsia="仿宋_GB2312"/>
          <w:sz w:val="32"/>
          <w:szCs w:val="32"/>
        </w:rPr>
        <w:t>）河流缓冲带生态保护修复工程，新建河滨生态缓冲带约</w:t>
      </w:r>
      <w:r w:rsidRPr="008C61CA">
        <w:rPr>
          <w:rFonts w:eastAsia="仿宋_GB2312"/>
          <w:sz w:val="32"/>
          <w:szCs w:val="32"/>
        </w:rPr>
        <w:t>9.68</w:t>
      </w:r>
      <w:r w:rsidRPr="008C61CA">
        <w:rPr>
          <w:rFonts w:eastAsia="仿宋_GB2312"/>
          <w:sz w:val="32"/>
          <w:szCs w:val="32"/>
        </w:rPr>
        <w:t>万</w:t>
      </w:r>
      <w:r w:rsidRPr="008C61CA">
        <w:rPr>
          <w:rFonts w:eastAsia="仿宋_GB2312"/>
          <w:sz w:val="32"/>
          <w:szCs w:val="32"/>
        </w:rPr>
        <w:t>m</w:t>
      </w:r>
      <w:r w:rsidRPr="008C61CA">
        <w:rPr>
          <w:rFonts w:eastAsia="仿宋_GB2312"/>
          <w:sz w:val="32"/>
          <w:szCs w:val="32"/>
          <w:vertAlign w:val="superscript"/>
        </w:rPr>
        <w:t>2</w:t>
      </w:r>
      <w:r w:rsidRPr="008C61CA">
        <w:rPr>
          <w:rFonts w:eastAsia="仿宋_GB2312"/>
          <w:sz w:val="32"/>
          <w:szCs w:val="32"/>
        </w:rPr>
        <w:t>；（</w:t>
      </w:r>
      <w:r w:rsidRPr="008C61CA">
        <w:rPr>
          <w:rFonts w:eastAsia="仿宋_GB2312"/>
          <w:sz w:val="32"/>
          <w:szCs w:val="32"/>
        </w:rPr>
        <w:t>2</w:t>
      </w:r>
      <w:r w:rsidRPr="008C61CA">
        <w:rPr>
          <w:rFonts w:eastAsia="仿宋_GB2312"/>
          <w:sz w:val="32"/>
          <w:szCs w:val="32"/>
        </w:rPr>
        <w:t>）人工湿地修复提升工程，修复面积约</w:t>
      </w:r>
      <w:r w:rsidRPr="008C61CA">
        <w:rPr>
          <w:rFonts w:eastAsia="仿宋_GB2312"/>
          <w:sz w:val="32"/>
          <w:szCs w:val="32"/>
        </w:rPr>
        <w:t>8.52</w:t>
      </w:r>
      <w:r w:rsidRPr="008C61CA">
        <w:rPr>
          <w:rFonts w:eastAsia="仿宋_GB2312"/>
          <w:sz w:val="32"/>
          <w:szCs w:val="32"/>
        </w:rPr>
        <w:t>万</w:t>
      </w:r>
      <w:r w:rsidRPr="008C61CA">
        <w:rPr>
          <w:rFonts w:eastAsia="仿宋_GB2312"/>
          <w:sz w:val="32"/>
          <w:szCs w:val="32"/>
        </w:rPr>
        <w:t>m</w:t>
      </w:r>
      <w:r w:rsidRPr="008C61CA">
        <w:rPr>
          <w:rFonts w:eastAsia="仿宋_GB2312"/>
          <w:sz w:val="32"/>
          <w:szCs w:val="32"/>
          <w:vertAlign w:val="superscript"/>
        </w:rPr>
        <w:t>2</w:t>
      </w:r>
      <w:r w:rsidRPr="008C61CA">
        <w:rPr>
          <w:rFonts w:eastAsia="仿宋_GB2312"/>
          <w:sz w:val="32"/>
          <w:szCs w:val="32"/>
        </w:rPr>
        <w:t>；（</w:t>
      </w:r>
      <w:r w:rsidRPr="008C61CA">
        <w:rPr>
          <w:rFonts w:eastAsia="仿宋_GB2312"/>
          <w:sz w:val="32"/>
          <w:szCs w:val="32"/>
        </w:rPr>
        <w:t>3</w:t>
      </w:r>
      <w:r w:rsidRPr="008C61CA">
        <w:rPr>
          <w:rFonts w:eastAsia="仿宋_GB2312"/>
          <w:sz w:val="32"/>
          <w:szCs w:val="32"/>
        </w:rPr>
        <w:t>）水域生境修复与改善工程，实施水域生态环境改善，面积约</w:t>
      </w:r>
      <w:r w:rsidRPr="008C61CA">
        <w:rPr>
          <w:rFonts w:eastAsia="仿宋_GB2312"/>
          <w:sz w:val="32"/>
          <w:szCs w:val="32"/>
        </w:rPr>
        <w:t>59.18</w:t>
      </w:r>
      <w:r w:rsidRPr="008C61CA">
        <w:rPr>
          <w:rFonts w:eastAsia="仿宋_GB2312"/>
          <w:sz w:val="32"/>
          <w:szCs w:val="32"/>
        </w:rPr>
        <w:t>万</w:t>
      </w:r>
      <w:r w:rsidRPr="008C61CA">
        <w:rPr>
          <w:rFonts w:eastAsia="仿宋_GB2312"/>
          <w:sz w:val="32"/>
          <w:szCs w:val="32"/>
        </w:rPr>
        <w:t>m</w:t>
      </w:r>
      <w:r w:rsidRPr="008C61CA">
        <w:rPr>
          <w:rFonts w:eastAsia="仿宋_GB2312"/>
          <w:sz w:val="32"/>
          <w:szCs w:val="32"/>
          <w:vertAlign w:val="superscript"/>
        </w:rPr>
        <w:t>2</w:t>
      </w:r>
      <w:r w:rsidRPr="008C61CA">
        <w:rPr>
          <w:rFonts w:eastAsia="仿宋_GB2312"/>
          <w:sz w:val="32"/>
          <w:szCs w:val="32"/>
        </w:rPr>
        <w:t>；（</w:t>
      </w:r>
      <w:r w:rsidRPr="008C61CA">
        <w:rPr>
          <w:rFonts w:eastAsia="仿宋_GB2312"/>
          <w:sz w:val="32"/>
          <w:szCs w:val="32"/>
        </w:rPr>
        <w:t>4</w:t>
      </w:r>
      <w:r w:rsidRPr="008C61CA">
        <w:rPr>
          <w:rFonts w:eastAsia="仿宋_GB2312"/>
          <w:sz w:val="32"/>
          <w:szCs w:val="32"/>
        </w:rPr>
        <w:t>）水生植被恢复与水华风险防控工程，实施沉水植被恢复，投放底栖生物，建立水华在线预警监测系统等。</w:t>
      </w:r>
      <w:bookmarkEnd w:id="1"/>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二、我局经研究，从生态环境保护角度，同意你公司按《报告书》所列建设项目的性质、规模、地点和</w:t>
      </w:r>
      <w:proofErr w:type="gramStart"/>
      <w:r w:rsidRPr="008C61CA">
        <w:rPr>
          <w:rFonts w:eastAsia="仿宋_GB2312"/>
          <w:sz w:val="32"/>
          <w:szCs w:val="32"/>
        </w:rPr>
        <w:t>拟采取</w:t>
      </w:r>
      <w:proofErr w:type="gramEnd"/>
      <w:r w:rsidRPr="008C61CA">
        <w:rPr>
          <w:rFonts w:eastAsia="仿宋_GB2312"/>
          <w:sz w:val="32"/>
          <w:szCs w:val="32"/>
        </w:rPr>
        <w:t>的各项污染防治、生态保护措施进行建设，并重</w:t>
      </w:r>
      <w:r w:rsidRPr="008C61CA">
        <w:rPr>
          <w:rFonts w:eastAsia="仿宋_GB2312"/>
          <w:sz w:val="32"/>
          <w:szCs w:val="32"/>
          <w:lang w:val="zh-CN"/>
        </w:rPr>
        <w:t>点做好以下工作</w:t>
      </w:r>
      <w:r w:rsidRPr="008C61CA">
        <w:rPr>
          <w:rFonts w:eastAsia="仿宋_GB2312"/>
          <w:sz w:val="32"/>
          <w:szCs w:val="32"/>
        </w:rPr>
        <w:t>。</w:t>
      </w:r>
    </w:p>
    <w:p w:rsidR="008C61CA" w:rsidRPr="008C61CA" w:rsidRDefault="008C61CA" w:rsidP="008C61CA">
      <w:pPr>
        <w:autoSpaceDE w:val="0"/>
        <w:autoSpaceDN w:val="0"/>
        <w:snapToGrid w:val="0"/>
        <w:spacing w:line="520" w:lineRule="exact"/>
        <w:ind w:firstLineChars="200" w:firstLine="640"/>
        <w:rPr>
          <w:rFonts w:eastAsia="仿宋_GB2312"/>
          <w:sz w:val="32"/>
          <w:szCs w:val="32"/>
        </w:rPr>
      </w:pPr>
      <w:r w:rsidRPr="008C61CA">
        <w:rPr>
          <w:rFonts w:eastAsia="仿宋_GB2312"/>
          <w:sz w:val="32"/>
          <w:szCs w:val="32"/>
        </w:rPr>
        <w:t>（一）切实落实各项生态保护措施。应制</w:t>
      </w:r>
      <w:proofErr w:type="gramStart"/>
      <w:r w:rsidRPr="008C61CA">
        <w:rPr>
          <w:rFonts w:eastAsia="仿宋_GB2312"/>
          <w:sz w:val="32"/>
          <w:szCs w:val="32"/>
        </w:rPr>
        <w:t>定科学</w:t>
      </w:r>
      <w:proofErr w:type="gramEnd"/>
      <w:r w:rsidRPr="008C61CA">
        <w:rPr>
          <w:rFonts w:eastAsia="仿宋_GB2312"/>
          <w:sz w:val="32"/>
          <w:szCs w:val="32"/>
        </w:rPr>
        <w:t>的施工计划，合理设置淤泥压滤场地、上下岸点、运输道路，严格控制施工作业范围，不得违规占用生态保护红线等生态敏感区，落实生态保护、植被保护要求及水土保持措施，最大程度减小对安徽屯溪三江省级湿地公园的生态环境影响。优化施工方案，合理安排工期，避开鱼类主要繁殖期，涉水施工安排在枯水期，最大限度减少底泥洗脱对水体扰动；落实环评文本提出的相应生态保护措施，减轻对鱼类、底栖生物等水生生物、鸟类以及生物多样性的影响；及时对临时占地进</w:t>
      </w:r>
      <w:r w:rsidRPr="008C61CA">
        <w:rPr>
          <w:rFonts w:eastAsia="仿宋_GB2312"/>
          <w:sz w:val="32"/>
          <w:szCs w:val="32"/>
        </w:rPr>
        <w:lastRenderedPageBreak/>
        <w:t>行生态恢复；加强施工期和运行期生态监测和环境管理，底泥洗脱工程结束后应开展水生植物恢复以及底栖生物、鱼类的人工增殖放流；科学开展底泥洗脱及生态修复工程，实质发挥生态保护和修复的正面效益，改善新安江屯溪段蓝藻水华状况，提升水环境质量。</w:t>
      </w:r>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二）落实大气环境保护措施。施工过程中应落实场地围挡、覆盖、密闭运输等措施，按照《安徽省大气污染防治条例》《安徽省建筑工程施工扬尘污染防治规定》《黄山市建设工程扬尘污染防治管理办法》要求，防止扬尘污染，保障施工场地周边、淤泥压滤场地临时占地等环境达到《环境空气质量标准》（</w:t>
      </w:r>
      <w:r w:rsidRPr="008C61CA">
        <w:rPr>
          <w:rFonts w:eastAsia="仿宋_GB2312"/>
          <w:sz w:val="32"/>
          <w:szCs w:val="32"/>
        </w:rPr>
        <w:t>GB3095-2012</w:t>
      </w:r>
      <w:r w:rsidRPr="008C61CA">
        <w:rPr>
          <w:rFonts w:eastAsia="仿宋_GB2312"/>
          <w:sz w:val="32"/>
          <w:szCs w:val="32"/>
        </w:rPr>
        <w:t>）及</w:t>
      </w:r>
      <w:r w:rsidRPr="008C61CA">
        <w:rPr>
          <w:rFonts w:eastAsia="仿宋_GB2312"/>
          <w:sz w:val="32"/>
          <w:szCs w:val="32"/>
        </w:rPr>
        <w:t>2018</w:t>
      </w:r>
      <w:r w:rsidRPr="008C61CA">
        <w:rPr>
          <w:rFonts w:eastAsia="仿宋_GB2312"/>
          <w:sz w:val="32"/>
          <w:szCs w:val="32"/>
        </w:rPr>
        <w:t>年修改单表</w:t>
      </w:r>
      <w:r w:rsidRPr="008C61CA">
        <w:rPr>
          <w:rFonts w:eastAsia="仿宋_GB2312"/>
          <w:sz w:val="32"/>
          <w:szCs w:val="32"/>
        </w:rPr>
        <w:t>1</w:t>
      </w:r>
      <w:r w:rsidRPr="008C61CA">
        <w:rPr>
          <w:rFonts w:eastAsia="仿宋_GB2312"/>
          <w:sz w:val="32"/>
          <w:szCs w:val="32"/>
        </w:rPr>
        <w:t>、表</w:t>
      </w:r>
      <w:r w:rsidRPr="008C61CA">
        <w:rPr>
          <w:rFonts w:eastAsia="仿宋_GB2312"/>
          <w:sz w:val="32"/>
          <w:szCs w:val="32"/>
        </w:rPr>
        <w:t>2</w:t>
      </w:r>
      <w:r w:rsidRPr="008C61CA">
        <w:rPr>
          <w:rFonts w:eastAsia="仿宋_GB2312"/>
          <w:sz w:val="32"/>
          <w:szCs w:val="32"/>
        </w:rPr>
        <w:t>中的二级标准，颗粒物应达到《施工场地颗粒物排放标准》（</w:t>
      </w:r>
      <w:r w:rsidRPr="008C61CA">
        <w:rPr>
          <w:rFonts w:eastAsia="仿宋_GB2312"/>
          <w:sz w:val="32"/>
          <w:szCs w:val="32"/>
        </w:rPr>
        <w:t>DB34/4811-2024</w:t>
      </w:r>
      <w:r w:rsidRPr="008C61CA">
        <w:rPr>
          <w:rFonts w:eastAsia="仿宋_GB2312"/>
          <w:sz w:val="32"/>
          <w:szCs w:val="32"/>
        </w:rPr>
        <w:t>）限值要求</w:t>
      </w:r>
      <w:bookmarkStart w:id="2" w:name="OLE_LINK7"/>
      <w:bookmarkStart w:id="3" w:name="OLE_LINK4"/>
      <w:r w:rsidRPr="008C61CA">
        <w:rPr>
          <w:rFonts w:eastAsia="仿宋_GB2312"/>
          <w:sz w:val="32"/>
          <w:szCs w:val="32"/>
        </w:rPr>
        <w:t>。禁止使用高排放非道路移动机械，</w:t>
      </w:r>
      <w:bookmarkStart w:id="4" w:name="OLE_LINK1"/>
      <w:bookmarkEnd w:id="2"/>
      <w:r w:rsidRPr="008C61CA">
        <w:rPr>
          <w:rFonts w:eastAsia="仿宋_GB2312"/>
          <w:sz w:val="32"/>
          <w:szCs w:val="32"/>
        </w:rPr>
        <w:t>施工机械及运输车辆废气</w:t>
      </w:r>
      <w:bookmarkEnd w:id="4"/>
      <w:r w:rsidRPr="008C61CA">
        <w:rPr>
          <w:rFonts w:eastAsia="仿宋_GB2312"/>
          <w:sz w:val="32"/>
          <w:szCs w:val="32"/>
        </w:rPr>
        <w:t>应达标排放</w:t>
      </w:r>
      <w:bookmarkStart w:id="5" w:name="OLE_LINK2"/>
      <w:bookmarkEnd w:id="3"/>
      <w:r w:rsidRPr="008C61CA">
        <w:rPr>
          <w:rFonts w:eastAsia="仿宋_GB2312"/>
          <w:sz w:val="32"/>
          <w:szCs w:val="32"/>
        </w:rPr>
        <w:t>。</w:t>
      </w:r>
      <w:bookmarkEnd w:id="5"/>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（三）落实地表水环境保护措施。</w:t>
      </w:r>
      <w:bookmarkStart w:id="6" w:name="OLE_LINK3"/>
      <w:r w:rsidRPr="008C61CA">
        <w:rPr>
          <w:rFonts w:eastAsia="仿宋_GB2312"/>
          <w:sz w:val="32"/>
          <w:szCs w:val="32"/>
        </w:rPr>
        <w:t>淤泥运输车辆应做好防渗漏措施，淤泥压滤废水经沉淀处理后达到《污水综合排放标准》（</w:t>
      </w:r>
      <w:r w:rsidRPr="008C61CA">
        <w:rPr>
          <w:rFonts w:eastAsia="仿宋_GB2312"/>
          <w:sz w:val="32"/>
          <w:szCs w:val="32"/>
        </w:rPr>
        <w:t>GB 8978-1996</w:t>
      </w:r>
      <w:r w:rsidRPr="008C61CA">
        <w:rPr>
          <w:rFonts w:eastAsia="仿宋_GB2312"/>
          <w:sz w:val="32"/>
          <w:szCs w:val="32"/>
        </w:rPr>
        <w:t>）中表</w:t>
      </w:r>
      <w:r w:rsidRPr="008C61CA">
        <w:rPr>
          <w:rFonts w:eastAsia="仿宋_GB2312"/>
          <w:sz w:val="32"/>
          <w:szCs w:val="32"/>
        </w:rPr>
        <w:t>4</w:t>
      </w:r>
      <w:proofErr w:type="gramStart"/>
      <w:r w:rsidRPr="008C61CA">
        <w:rPr>
          <w:rFonts w:eastAsia="仿宋_GB2312"/>
          <w:sz w:val="32"/>
          <w:szCs w:val="32"/>
        </w:rPr>
        <w:t>三</w:t>
      </w:r>
      <w:proofErr w:type="gramEnd"/>
      <w:r w:rsidRPr="008C61CA">
        <w:rPr>
          <w:rFonts w:eastAsia="仿宋_GB2312"/>
          <w:sz w:val="32"/>
          <w:szCs w:val="32"/>
        </w:rPr>
        <w:t>级标准后排入市政污水管网进入黄山市第一水质净化厂处理达标后排放；蓝藻分离后的清水回流至原水体，藻浆脱除的水分进入</w:t>
      </w:r>
      <w:proofErr w:type="gramStart"/>
      <w:r w:rsidRPr="008C61CA">
        <w:rPr>
          <w:rFonts w:eastAsia="仿宋_GB2312"/>
          <w:sz w:val="32"/>
          <w:szCs w:val="32"/>
        </w:rPr>
        <w:t>移动藻水分离</w:t>
      </w:r>
      <w:proofErr w:type="gramEnd"/>
      <w:r w:rsidRPr="008C61CA">
        <w:rPr>
          <w:rFonts w:eastAsia="仿宋_GB2312"/>
          <w:sz w:val="32"/>
          <w:szCs w:val="32"/>
        </w:rPr>
        <w:t>处理平台循环利用，不外排；</w:t>
      </w:r>
      <w:bookmarkStart w:id="7" w:name="OLE_LINK9"/>
      <w:bookmarkEnd w:id="6"/>
      <w:r w:rsidRPr="008C61CA">
        <w:rPr>
          <w:rFonts w:eastAsia="仿宋_GB2312"/>
          <w:sz w:val="32"/>
          <w:szCs w:val="32"/>
        </w:rPr>
        <w:t>施工船舶含油污水经油水分离器处理后通过屯溪旅游码头的船舶含油污水收集池进行上岸收集，委托危险废物处理资质单位进行转移、处理，船员生活污水通过屯溪旅游码头的生活污水上岸设施进入市政污水管网</w:t>
      </w:r>
      <w:bookmarkEnd w:id="7"/>
      <w:r w:rsidRPr="008C61CA">
        <w:rPr>
          <w:rFonts w:eastAsia="仿宋_GB2312"/>
          <w:sz w:val="32"/>
          <w:szCs w:val="32"/>
        </w:rPr>
        <w:t>、非涉水施工人员、运营期管理人员生活污水排入市政污水管网进入黄山市第一水质净化厂处理。建议使用电</w:t>
      </w:r>
      <w:r w:rsidRPr="008C61CA">
        <w:rPr>
          <w:rFonts w:eastAsia="仿宋_GB2312"/>
          <w:sz w:val="32"/>
          <w:szCs w:val="32"/>
        </w:rPr>
        <w:lastRenderedPageBreak/>
        <w:t>动底泥洗脱船，油船须配置有效防止油污渗漏措施，禁止向水体倾倒垃圾；采用钢围堰施工，做好河道水土流失防护措施，禁止将施工垃圾随意抛弃于河道；</w:t>
      </w:r>
      <w:proofErr w:type="gramStart"/>
      <w:r w:rsidRPr="008C61CA">
        <w:rPr>
          <w:rFonts w:eastAsia="仿宋_GB2312"/>
          <w:sz w:val="32"/>
          <w:szCs w:val="32"/>
        </w:rPr>
        <w:t>临近</w:t>
      </w:r>
      <w:r w:rsidRPr="008C61CA">
        <w:rPr>
          <w:rFonts w:eastAsia="仿宋_GB2312"/>
          <w:sz w:val="32"/>
          <w:szCs w:val="32"/>
          <w:lang w:val="zh-CN"/>
        </w:rPr>
        <w:t>国控</w:t>
      </w:r>
      <w:proofErr w:type="gramEnd"/>
      <w:r w:rsidRPr="008C61CA">
        <w:rPr>
          <w:rFonts w:eastAsia="仿宋_GB2312"/>
          <w:sz w:val="32"/>
          <w:szCs w:val="32"/>
          <w:lang w:val="zh-CN"/>
        </w:rPr>
        <w:t>断面工程施工前应向市生态环境主管部门报备，</w:t>
      </w:r>
      <w:r w:rsidRPr="008C61CA">
        <w:rPr>
          <w:rFonts w:eastAsia="仿宋_GB2312"/>
          <w:sz w:val="32"/>
          <w:szCs w:val="32"/>
        </w:rPr>
        <w:t>严禁施工废水随意排入生态保护红线水体，</w:t>
      </w:r>
      <w:r w:rsidRPr="008C61CA">
        <w:rPr>
          <w:rFonts w:eastAsia="仿宋_GB2312"/>
          <w:sz w:val="32"/>
          <w:szCs w:val="32"/>
          <w:lang w:val="zh-CN"/>
        </w:rPr>
        <w:t>严格做好施工期废水污染防治、地表水环境保护，加强水质监测预警，</w:t>
      </w:r>
      <w:proofErr w:type="gramStart"/>
      <w:r w:rsidRPr="008C61CA">
        <w:rPr>
          <w:rFonts w:eastAsia="仿宋_GB2312"/>
          <w:sz w:val="32"/>
          <w:szCs w:val="32"/>
        </w:rPr>
        <w:t>保障水</w:t>
      </w:r>
      <w:proofErr w:type="gramEnd"/>
      <w:r w:rsidRPr="008C61CA">
        <w:rPr>
          <w:rFonts w:eastAsia="仿宋_GB2312"/>
          <w:sz w:val="32"/>
          <w:szCs w:val="32"/>
        </w:rPr>
        <w:t>环境质量不降低。</w:t>
      </w:r>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（四）落实噪声污染防治措施。合理安排施工时间，避免高噪声设备夜间和午间施工，控制噪声声源，选择低噪声的机械设备，加强现场运输管理，确保施工期噪声不得超过《建筑施工场界环境噪声排放标准》（</w:t>
      </w:r>
      <w:r w:rsidRPr="008C61CA">
        <w:rPr>
          <w:rFonts w:eastAsia="仿宋_GB2312"/>
          <w:sz w:val="32"/>
          <w:szCs w:val="32"/>
        </w:rPr>
        <w:t>GB12523-2011</w:t>
      </w:r>
      <w:r w:rsidRPr="008C61CA">
        <w:rPr>
          <w:rFonts w:eastAsia="仿宋_GB2312"/>
          <w:sz w:val="32"/>
          <w:szCs w:val="32"/>
        </w:rPr>
        <w:t>）规定的限值，河道及运输道路</w:t>
      </w:r>
      <w:proofErr w:type="gramStart"/>
      <w:r w:rsidRPr="008C61CA">
        <w:rPr>
          <w:rFonts w:eastAsia="仿宋_GB2312"/>
          <w:sz w:val="32"/>
          <w:szCs w:val="32"/>
        </w:rPr>
        <w:t>沿线声</w:t>
      </w:r>
      <w:proofErr w:type="gramEnd"/>
      <w:r w:rsidRPr="008C61CA">
        <w:rPr>
          <w:rFonts w:eastAsia="仿宋_GB2312"/>
          <w:sz w:val="32"/>
          <w:szCs w:val="32"/>
        </w:rPr>
        <w:t>环境敏感</w:t>
      </w:r>
      <w:proofErr w:type="gramStart"/>
      <w:r w:rsidRPr="008C61CA">
        <w:rPr>
          <w:rFonts w:eastAsia="仿宋_GB2312"/>
          <w:sz w:val="32"/>
          <w:szCs w:val="32"/>
        </w:rPr>
        <w:t>目标声</w:t>
      </w:r>
      <w:proofErr w:type="gramEnd"/>
      <w:r w:rsidRPr="008C61CA">
        <w:rPr>
          <w:rFonts w:eastAsia="仿宋_GB2312"/>
          <w:sz w:val="32"/>
          <w:szCs w:val="32"/>
        </w:rPr>
        <w:t>环境满足《声环境质量标准》（</w:t>
      </w:r>
      <w:r w:rsidRPr="008C61CA">
        <w:rPr>
          <w:rFonts w:eastAsia="仿宋_GB2312"/>
          <w:sz w:val="32"/>
          <w:szCs w:val="32"/>
        </w:rPr>
        <w:t>GB3096-2008</w:t>
      </w:r>
      <w:r w:rsidRPr="008C61CA">
        <w:rPr>
          <w:rFonts w:eastAsia="仿宋_GB2312"/>
          <w:sz w:val="32"/>
          <w:szCs w:val="32"/>
        </w:rPr>
        <w:t>）中相应标准限值。</w:t>
      </w:r>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（五）规范固体废物处理处置。</w:t>
      </w:r>
      <w:bookmarkStart w:id="8" w:name="OLE_LINK11"/>
      <w:bookmarkStart w:id="9" w:name="OLE_LINK6"/>
      <w:r w:rsidRPr="008C61CA">
        <w:rPr>
          <w:rFonts w:eastAsia="仿宋_GB2312"/>
          <w:sz w:val="32"/>
          <w:szCs w:val="32"/>
        </w:rPr>
        <w:t>严格按照《中华人民共和国固体废物污染环境防治法》中有关规定，规范建设淤泥暂存间，</w:t>
      </w:r>
      <w:bookmarkEnd w:id="8"/>
      <w:r w:rsidRPr="008C61CA">
        <w:rPr>
          <w:rFonts w:eastAsia="仿宋_GB2312"/>
          <w:sz w:val="32"/>
          <w:szCs w:val="32"/>
        </w:rPr>
        <w:t>洗脱底泥压滤脱水后暂存于淤泥暂存间中，定期委托黄山市林业科学研究所用于苗圃生产、绿化基肥、园林景观等；</w:t>
      </w:r>
      <w:proofErr w:type="gramStart"/>
      <w:r w:rsidRPr="008C61CA">
        <w:rPr>
          <w:rFonts w:eastAsia="仿宋_GB2312"/>
          <w:sz w:val="32"/>
          <w:szCs w:val="32"/>
        </w:rPr>
        <w:t>藻泥脱水</w:t>
      </w:r>
      <w:proofErr w:type="gramEnd"/>
      <w:r w:rsidRPr="008C61CA">
        <w:rPr>
          <w:rFonts w:eastAsia="仿宋_GB2312"/>
          <w:sz w:val="32"/>
          <w:szCs w:val="32"/>
        </w:rPr>
        <w:t>后委托黄山中环洁城市环境管理有限公司处置；生活垃圾委托环卫部门处置，不得随意丢弃。</w:t>
      </w:r>
      <w:bookmarkEnd w:id="9"/>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（六）强化环境风险防控。做好船舶溢油的环境风险应急措施，按要求编制突发环境事件应急预案，储备风险防范应急物资，与地方政府应急预案的做好衔接和联动。</w:t>
      </w:r>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三、项目应加强对施工期和运营期的环境管理工作，制订生态环境保护规章制度，确定专人负责环保工作，配备必要的环境监测仪器和设备，制定环境监测计划，定期进行监测，加强对各项污染防治、生态保护设施的管理、维护，做</w:t>
      </w:r>
      <w:r w:rsidRPr="008C61CA">
        <w:rPr>
          <w:rFonts w:eastAsia="仿宋_GB2312"/>
          <w:sz w:val="32"/>
          <w:szCs w:val="32"/>
        </w:rPr>
        <w:lastRenderedPageBreak/>
        <w:t>好生态恢复</w:t>
      </w:r>
      <w:proofErr w:type="gramStart"/>
      <w:r w:rsidRPr="008C61CA">
        <w:rPr>
          <w:rFonts w:eastAsia="仿宋_GB2312"/>
          <w:sz w:val="32"/>
          <w:szCs w:val="32"/>
        </w:rPr>
        <w:t>及做到</w:t>
      </w:r>
      <w:proofErr w:type="gramEnd"/>
      <w:r w:rsidRPr="008C61CA">
        <w:rPr>
          <w:rFonts w:eastAsia="仿宋_GB2312"/>
          <w:sz w:val="32"/>
          <w:szCs w:val="32"/>
        </w:rPr>
        <w:t>污染物稳定达标排放。</w:t>
      </w:r>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四、《报告书》经批准后，项目的性质、规模、地点、采用的生产工艺或防治污染的措施发生重大变动的，应依法重新报批项目的环境影响评价文件。超过五年方才建设的，应依法报我局重新审核。</w:t>
      </w:r>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五、建设项目必须严格执行环境保护</w:t>
      </w:r>
      <w:r w:rsidRPr="008C61CA">
        <w:rPr>
          <w:rFonts w:eastAsia="仿宋_GB2312"/>
          <w:sz w:val="32"/>
          <w:szCs w:val="32"/>
        </w:rPr>
        <w:t>“</w:t>
      </w:r>
      <w:r w:rsidRPr="008C61CA">
        <w:rPr>
          <w:rFonts w:eastAsia="仿宋_GB2312"/>
          <w:sz w:val="32"/>
          <w:szCs w:val="32"/>
        </w:rPr>
        <w:t>三同时</w:t>
      </w:r>
      <w:r w:rsidRPr="008C61CA">
        <w:rPr>
          <w:rFonts w:eastAsia="仿宋_GB2312"/>
          <w:sz w:val="32"/>
          <w:szCs w:val="32"/>
        </w:rPr>
        <w:t>”</w:t>
      </w:r>
      <w:r w:rsidRPr="008C61CA">
        <w:rPr>
          <w:rFonts w:eastAsia="仿宋_GB2312"/>
          <w:sz w:val="32"/>
          <w:szCs w:val="32"/>
        </w:rPr>
        <w:t>制度。初步设计应当按照环境保护设计规范的要求，编制环境保护篇章，落实防治环境污染和生态破坏的措施以及环境保护设施投资概算。环保设施建设必须纳入施工合同，保证环保设施建设进度和资金。</w:t>
      </w:r>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六、国家对本项目应执行的环境标准</w:t>
      </w:r>
      <w:proofErr w:type="gramStart"/>
      <w:r w:rsidRPr="008C61CA">
        <w:rPr>
          <w:rFonts w:eastAsia="仿宋_GB2312"/>
          <w:sz w:val="32"/>
          <w:szCs w:val="32"/>
        </w:rPr>
        <w:t>作出</w:t>
      </w:r>
      <w:proofErr w:type="gramEnd"/>
      <w:r w:rsidRPr="008C61CA">
        <w:rPr>
          <w:rFonts w:eastAsia="仿宋_GB2312"/>
          <w:sz w:val="32"/>
          <w:szCs w:val="32"/>
        </w:rPr>
        <w:t>修订或新颁布的，执行新标准。</w:t>
      </w:r>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七、该项目建成后，应按照法定程序和要求及时开展建设项目竣工环境保护验收和验收信息报送工作，并依法依规公开相关信息。</w:t>
      </w:r>
    </w:p>
    <w:p w:rsidR="008C61CA" w:rsidRPr="008C61CA" w:rsidRDefault="008C61CA" w:rsidP="008C61CA">
      <w:pPr>
        <w:spacing w:line="520" w:lineRule="exact"/>
        <w:ind w:firstLineChars="200" w:firstLine="640"/>
        <w:rPr>
          <w:rFonts w:eastAsia="仿宋_GB2312"/>
          <w:sz w:val="32"/>
          <w:szCs w:val="32"/>
        </w:rPr>
      </w:pPr>
      <w:r w:rsidRPr="008C61CA">
        <w:rPr>
          <w:rFonts w:eastAsia="仿宋_GB2312"/>
          <w:sz w:val="32"/>
          <w:szCs w:val="32"/>
        </w:rPr>
        <w:t>八、涉及与本项目有关的法律、法规、政策等要求的，从其规定，并依法严格执行相关主管部门规定，取得了相关主管部门法定许可后方可开工。</w:t>
      </w:r>
    </w:p>
    <w:p w:rsidR="008C61CA" w:rsidRPr="008C61CA" w:rsidRDefault="008C61CA" w:rsidP="008C61CA">
      <w:pPr>
        <w:widowControl/>
        <w:adjustRightInd w:val="0"/>
        <w:snapToGrid w:val="0"/>
        <w:spacing w:line="520" w:lineRule="exact"/>
        <w:ind w:firstLineChars="200" w:firstLine="640"/>
        <w:rPr>
          <w:rFonts w:eastAsia="仿宋_GB2312"/>
          <w:sz w:val="32"/>
          <w:szCs w:val="32"/>
        </w:rPr>
      </w:pPr>
      <w:r w:rsidRPr="008C61CA">
        <w:rPr>
          <w:rFonts w:eastAsia="仿宋_GB2312"/>
          <w:sz w:val="32"/>
          <w:szCs w:val="32"/>
        </w:rPr>
        <w:t>九、请市生态环境保护综合行政执法支队、屯溪区生态环境分局负责该项目环保</w:t>
      </w:r>
      <w:r w:rsidRPr="008C61CA">
        <w:rPr>
          <w:rFonts w:eastAsia="仿宋_GB2312"/>
          <w:sz w:val="32"/>
          <w:szCs w:val="32"/>
        </w:rPr>
        <w:t>“</w:t>
      </w:r>
      <w:r w:rsidRPr="008C61CA">
        <w:rPr>
          <w:rFonts w:eastAsia="仿宋_GB2312"/>
          <w:sz w:val="32"/>
          <w:szCs w:val="32"/>
        </w:rPr>
        <w:t>三同时</w:t>
      </w:r>
      <w:r w:rsidRPr="008C61CA">
        <w:rPr>
          <w:rFonts w:eastAsia="仿宋_GB2312"/>
          <w:sz w:val="32"/>
          <w:szCs w:val="32"/>
        </w:rPr>
        <w:t>”</w:t>
      </w:r>
      <w:r w:rsidRPr="008C61CA">
        <w:rPr>
          <w:rFonts w:eastAsia="仿宋_GB2312"/>
          <w:sz w:val="32"/>
          <w:szCs w:val="32"/>
        </w:rPr>
        <w:t>日常监督管理工作。</w:t>
      </w:r>
    </w:p>
    <w:p w:rsidR="008C61CA" w:rsidRPr="008C61CA" w:rsidRDefault="008C61CA" w:rsidP="008C61CA">
      <w:pPr>
        <w:pStyle w:val="a4"/>
        <w:spacing w:beforeLines="0" w:before="0" w:line="520" w:lineRule="exact"/>
      </w:pPr>
    </w:p>
    <w:p w:rsidR="008C61CA" w:rsidRPr="008C61CA" w:rsidRDefault="008C61CA" w:rsidP="008C61CA">
      <w:pPr>
        <w:pStyle w:val="a4"/>
        <w:spacing w:beforeLines="0" w:before="0" w:line="520" w:lineRule="exact"/>
      </w:pPr>
    </w:p>
    <w:p w:rsidR="008C61CA" w:rsidRPr="008C61CA" w:rsidRDefault="008C61CA" w:rsidP="008C61CA">
      <w:pPr>
        <w:pStyle w:val="a4"/>
        <w:spacing w:beforeLines="0" w:before="0" w:line="520" w:lineRule="exact"/>
      </w:pPr>
    </w:p>
    <w:p w:rsidR="008C61CA" w:rsidRPr="008C61CA" w:rsidRDefault="008C61CA" w:rsidP="008C61CA">
      <w:pPr>
        <w:widowControl/>
        <w:wordWrap w:val="0"/>
        <w:adjustRightInd w:val="0"/>
        <w:snapToGrid w:val="0"/>
        <w:spacing w:line="520" w:lineRule="exact"/>
        <w:ind w:firstLineChars="200" w:firstLine="640"/>
        <w:jc w:val="right"/>
        <w:rPr>
          <w:rFonts w:eastAsia="仿宋_GB2312"/>
          <w:color w:val="000000"/>
          <w:sz w:val="32"/>
          <w:szCs w:val="32"/>
        </w:rPr>
      </w:pPr>
      <w:r w:rsidRPr="008C61CA">
        <w:rPr>
          <w:rFonts w:eastAsia="仿宋_GB2312"/>
          <w:sz w:val="32"/>
          <w:szCs w:val="32"/>
        </w:rPr>
        <w:t>2025</w:t>
      </w:r>
      <w:r w:rsidRPr="008C61CA">
        <w:rPr>
          <w:rFonts w:eastAsia="仿宋_GB2312"/>
          <w:sz w:val="32"/>
          <w:szCs w:val="32"/>
        </w:rPr>
        <w:t>年</w:t>
      </w:r>
      <w:r w:rsidRPr="008C61CA">
        <w:rPr>
          <w:rFonts w:eastAsia="仿宋_GB2312"/>
          <w:sz w:val="32"/>
          <w:szCs w:val="32"/>
        </w:rPr>
        <w:t>6</w:t>
      </w:r>
      <w:r w:rsidRPr="008C61CA">
        <w:rPr>
          <w:rFonts w:eastAsia="仿宋_GB2312"/>
          <w:sz w:val="32"/>
          <w:szCs w:val="32"/>
        </w:rPr>
        <w:t>月</w:t>
      </w:r>
      <w:r w:rsidRPr="008C61CA">
        <w:rPr>
          <w:rFonts w:eastAsia="仿宋_GB2312"/>
          <w:sz w:val="32"/>
          <w:szCs w:val="32"/>
        </w:rPr>
        <w:t>6</w:t>
      </w:r>
      <w:r w:rsidRPr="008C61CA">
        <w:rPr>
          <w:rFonts w:eastAsia="仿宋_GB2312"/>
          <w:sz w:val="32"/>
          <w:szCs w:val="32"/>
        </w:rPr>
        <w:t>日</w:t>
      </w:r>
      <w:r w:rsidRPr="008C61CA">
        <w:rPr>
          <w:rFonts w:eastAsia="仿宋_GB2312"/>
          <w:sz w:val="32"/>
          <w:szCs w:val="32"/>
        </w:rPr>
        <w:t xml:space="preserve">      </w:t>
      </w:r>
    </w:p>
    <w:p w:rsidR="008C61CA" w:rsidRPr="008C61CA" w:rsidRDefault="008C61CA" w:rsidP="008C61CA">
      <w:pPr>
        <w:widowControl/>
        <w:adjustRightInd w:val="0"/>
        <w:snapToGrid w:val="0"/>
        <w:spacing w:line="560" w:lineRule="exact"/>
        <w:ind w:firstLineChars="200" w:firstLine="640"/>
        <w:rPr>
          <w:rFonts w:eastAsia="仿宋_GB2312"/>
          <w:color w:val="000000"/>
          <w:sz w:val="32"/>
          <w:szCs w:val="32"/>
        </w:rPr>
      </w:pPr>
    </w:p>
    <w:p w:rsidR="008C61CA" w:rsidRPr="008C61CA" w:rsidRDefault="008C61CA" w:rsidP="008C61CA">
      <w:pPr>
        <w:widowControl/>
        <w:adjustRightInd w:val="0"/>
        <w:snapToGrid w:val="0"/>
        <w:spacing w:line="560" w:lineRule="exact"/>
        <w:ind w:firstLineChars="200" w:firstLine="640"/>
        <w:rPr>
          <w:rFonts w:eastAsia="仿宋_GB2312"/>
          <w:color w:val="000000"/>
          <w:sz w:val="32"/>
          <w:szCs w:val="32"/>
        </w:rPr>
      </w:pPr>
    </w:p>
    <w:p w:rsidR="008C61CA" w:rsidRPr="008C61CA" w:rsidRDefault="008C61CA" w:rsidP="008C61CA">
      <w:pPr>
        <w:widowControl/>
        <w:adjustRightInd w:val="0"/>
        <w:snapToGrid w:val="0"/>
        <w:spacing w:line="560" w:lineRule="exact"/>
        <w:ind w:firstLineChars="200" w:firstLine="640"/>
        <w:rPr>
          <w:rFonts w:eastAsia="仿宋_GB2312"/>
          <w:color w:val="000000"/>
          <w:sz w:val="32"/>
          <w:szCs w:val="32"/>
        </w:rPr>
      </w:pPr>
    </w:p>
    <w:p w:rsidR="008C61CA" w:rsidRPr="008C61CA" w:rsidRDefault="008C61CA" w:rsidP="008C61CA">
      <w:pPr>
        <w:pStyle w:val="a0"/>
        <w:ind w:firstLine="640"/>
        <w:rPr>
          <w:rFonts w:eastAsia="仿宋_GB2312"/>
          <w:color w:val="000000"/>
          <w:sz w:val="32"/>
          <w:szCs w:val="32"/>
        </w:rPr>
      </w:pPr>
    </w:p>
    <w:p w:rsidR="008C61CA" w:rsidRPr="008C61CA" w:rsidRDefault="008C61CA" w:rsidP="008C61CA">
      <w:pPr>
        <w:pStyle w:val="a4"/>
        <w:spacing w:before="312"/>
        <w:rPr>
          <w:rFonts w:eastAsia="仿宋_GB2312"/>
          <w:color w:val="000000"/>
          <w:sz w:val="32"/>
          <w:szCs w:val="32"/>
        </w:rPr>
      </w:pPr>
    </w:p>
    <w:p w:rsidR="008C61CA" w:rsidRPr="008C61CA" w:rsidRDefault="008C61CA" w:rsidP="008C61CA">
      <w:pPr>
        <w:pStyle w:val="a4"/>
        <w:spacing w:before="312"/>
        <w:rPr>
          <w:rFonts w:eastAsia="仿宋_GB2312"/>
          <w:color w:val="000000"/>
          <w:sz w:val="32"/>
          <w:szCs w:val="32"/>
        </w:rPr>
      </w:pPr>
    </w:p>
    <w:p w:rsidR="008C61CA" w:rsidRPr="008C61CA" w:rsidRDefault="008C61CA" w:rsidP="008C61CA">
      <w:pPr>
        <w:pStyle w:val="a4"/>
        <w:spacing w:before="312"/>
        <w:rPr>
          <w:rFonts w:eastAsia="仿宋_GB2312"/>
          <w:color w:val="000000"/>
          <w:sz w:val="32"/>
          <w:szCs w:val="32"/>
        </w:rPr>
      </w:pPr>
    </w:p>
    <w:p w:rsidR="008C61CA" w:rsidRPr="008C61CA" w:rsidRDefault="008C61CA" w:rsidP="008C61CA">
      <w:pPr>
        <w:widowControl/>
        <w:adjustRightInd w:val="0"/>
        <w:snapToGrid w:val="0"/>
        <w:spacing w:line="560" w:lineRule="exact"/>
        <w:ind w:firstLineChars="200" w:firstLine="640"/>
        <w:rPr>
          <w:rFonts w:eastAsia="仿宋_GB2312"/>
          <w:color w:val="000000"/>
          <w:sz w:val="32"/>
          <w:szCs w:val="32"/>
        </w:rPr>
      </w:pPr>
    </w:p>
    <w:p w:rsidR="008C61CA" w:rsidRPr="008C61CA" w:rsidRDefault="008C61CA" w:rsidP="008C61CA">
      <w:pPr>
        <w:widowControl/>
        <w:adjustRightInd w:val="0"/>
        <w:snapToGrid w:val="0"/>
        <w:spacing w:line="560" w:lineRule="exact"/>
        <w:ind w:firstLineChars="200" w:firstLine="640"/>
        <w:rPr>
          <w:rFonts w:eastAsia="仿宋_GB2312"/>
          <w:color w:val="000000"/>
          <w:sz w:val="32"/>
          <w:szCs w:val="32"/>
        </w:rPr>
      </w:pPr>
    </w:p>
    <w:p w:rsidR="008C61CA" w:rsidRPr="008C61CA" w:rsidRDefault="008C61CA" w:rsidP="008C61CA">
      <w:pPr>
        <w:widowControl/>
        <w:adjustRightInd w:val="0"/>
        <w:snapToGrid w:val="0"/>
        <w:spacing w:line="560" w:lineRule="exact"/>
        <w:ind w:firstLineChars="200" w:firstLine="640"/>
        <w:rPr>
          <w:rFonts w:eastAsia="仿宋_GB2312"/>
          <w:color w:val="000000"/>
          <w:sz w:val="32"/>
          <w:szCs w:val="32"/>
        </w:rPr>
      </w:pPr>
    </w:p>
    <w:p w:rsidR="008C61CA" w:rsidRPr="008C61CA" w:rsidRDefault="008C61CA" w:rsidP="008C61CA">
      <w:pPr>
        <w:pStyle w:val="a0"/>
        <w:ind w:firstLine="480"/>
      </w:pPr>
    </w:p>
    <w:p w:rsidR="008C61CA" w:rsidRPr="008C61CA" w:rsidRDefault="008C61CA" w:rsidP="008C61CA">
      <w:pPr>
        <w:pStyle w:val="a4"/>
        <w:spacing w:before="312"/>
      </w:pPr>
    </w:p>
    <w:tbl>
      <w:tblPr>
        <w:tblpPr w:leftFromText="180" w:rightFromText="180" w:vertAnchor="text" w:horzAnchor="margin" w:tblpY="4649"/>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9"/>
      </w:tblGrid>
      <w:tr w:rsidR="008C61CA" w:rsidRPr="008C61CA" w:rsidTr="008C61CA">
        <w:trPr>
          <w:trHeight w:val="122"/>
        </w:trPr>
        <w:tc>
          <w:tcPr>
            <w:tcW w:w="8969" w:type="dxa"/>
            <w:tcBorders>
              <w:top w:val="single" w:sz="4" w:space="0" w:color="auto"/>
              <w:left w:val="nil"/>
              <w:bottom w:val="single" w:sz="4" w:space="0" w:color="auto"/>
              <w:right w:val="nil"/>
            </w:tcBorders>
            <w:vAlign w:val="center"/>
          </w:tcPr>
          <w:p w:rsidR="008C61CA" w:rsidRPr="008C61CA" w:rsidRDefault="008C61CA" w:rsidP="008C61CA">
            <w:pPr>
              <w:widowControl/>
              <w:adjustRightInd w:val="0"/>
              <w:snapToGrid w:val="0"/>
              <w:spacing w:line="400" w:lineRule="exact"/>
              <w:ind w:leftChars="134" w:left="1121" w:hangingChars="300" w:hanging="840"/>
              <w:rPr>
                <w:rFonts w:eastAsia="仿宋_GB2312"/>
                <w:color w:val="000000"/>
                <w:sz w:val="28"/>
                <w:szCs w:val="28"/>
              </w:rPr>
            </w:pPr>
            <w:r w:rsidRPr="008C61CA">
              <w:rPr>
                <w:rFonts w:eastAsia="仿宋_GB2312"/>
                <w:color w:val="000000"/>
                <w:sz w:val="28"/>
                <w:szCs w:val="28"/>
              </w:rPr>
              <w:t>抄送</w:t>
            </w:r>
            <w:r w:rsidRPr="008C61CA">
              <w:rPr>
                <w:rFonts w:eastAsia="仿宋_GB2312"/>
                <w:color w:val="000000"/>
                <w:sz w:val="28"/>
                <w:szCs w:val="28"/>
                <w:lang w:val="zh-CN"/>
              </w:rPr>
              <w:t>：</w:t>
            </w:r>
            <w:r w:rsidRPr="008C61CA">
              <w:rPr>
                <w:rFonts w:eastAsia="仿宋_GB2312"/>
                <w:color w:val="000000"/>
                <w:sz w:val="28"/>
                <w:szCs w:val="28"/>
              </w:rPr>
              <w:t>市生态环境保护综合行政执法支队，屯溪区生态环境分局，安徽环境科技研究院股份有限公司</w:t>
            </w:r>
            <w:r w:rsidRPr="008C61CA">
              <w:rPr>
                <w:rFonts w:eastAsia="仿宋_GB2312"/>
                <w:color w:val="000000"/>
                <w:sz w:val="28"/>
                <w:szCs w:val="28"/>
                <w:lang w:val="zh-CN"/>
              </w:rPr>
              <w:t>。</w:t>
            </w:r>
          </w:p>
        </w:tc>
      </w:tr>
      <w:tr w:rsidR="008C61CA" w:rsidRPr="008C61CA" w:rsidTr="008C61CA">
        <w:trPr>
          <w:trHeight w:val="558"/>
        </w:trPr>
        <w:tc>
          <w:tcPr>
            <w:tcW w:w="8969" w:type="dxa"/>
            <w:tcBorders>
              <w:top w:val="single" w:sz="4" w:space="0" w:color="auto"/>
              <w:left w:val="nil"/>
              <w:bottom w:val="single" w:sz="4" w:space="0" w:color="auto"/>
              <w:right w:val="nil"/>
            </w:tcBorders>
            <w:vAlign w:val="center"/>
          </w:tcPr>
          <w:p w:rsidR="008C61CA" w:rsidRPr="008C61CA" w:rsidRDefault="008C61CA" w:rsidP="008C61CA">
            <w:pPr>
              <w:adjustRightInd w:val="0"/>
              <w:snapToGrid w:val="0"/>
              <w:spacing w:line="400" w:lineRule="exact"/>
              <w:ind w:firstLineChars="100" w:firstLine="280"/>
              <w:rPr>
                <w:rFonts w:eastAsia="仿宋_GB2312"/>
                <w:color w:val="000000"/>
                <w:sz w:val="28"/>
                <w:szCs w:val="28"/>
              </w:rPr>
            </w:pPr>
            <w:r w:rsidRPr="008C61CA">
              <w:rPr>
                <w:rFonts w:eastAsia="仿宋_GB2312"/>
                <w:color w:val="000000"/>
                <w:sz w:val="28"/>
                <w:szCs w:val="28"/>
              </w:rPr>
              <w:t>黄山市生态环境局</w:t>
            </w:r>
            <w:r w:rsidRPr="008C61CA">
              <w:rPr>
                <w:rFonts w:eastAsia="仿宋_GB2312"/>
                <w:color w:val="000000"/>
                <w:sz w:val="28"/>
                <w:szCs w:val="28"/>
              </w:rPr>
              <w:t xml:space="preserve">                       2025</w:t>
            </w:r>
            <w:r w:rsidRPr="008C61CA">
              <w:rPr>
                <w:rFonts w:eastAsia="仿宋_GB2312"/>
                <w:color w:val="000000"/>
                <w:sz w:val="28"/>
                <w:szCs w:val="28"/>
              </w:rPr>
              <w:t>年</w:t>
            </w:r>
            <w:r w:rsidRPr="008C61CA">
              <w:rPr>
                <w:rFonts w:eastAsia="仿宋_GB2312"/>
                <w:color w:val="000000"/>
                <w:sz w:val="28"/>
                <w:szCs w:val="28"/>
              </w:rPr>
              <w:t>6</w:t>
            </w:r>
            <w:r w:rsidRPr="008C61CA">
              <w:rPr>
                <w:rFonts w:eastAsia="仿宋_GB2312"/>
                <w:color w:val="000000"/>
                <w:sz w:val="28"/>
                <w:szCs w:val="28"/>
              </w:rPr>
              <w:t>月</w:t>
            </w:r>
            <w:r w:rsidRPr="008C61CA">
              <w:rPr>
                <w:rFonts w:eastAsia="仿宋_GB2312"/>
                <w:color w:val="000000"/>
                <w:sz w:val="28"/>
                <w:szCs w:val="28"/>
              </w:rPr>
              <w:t xml:space="preserve">6 </w:t>
            </w:r>
            <w:r w:rsidRPr="008C61CA">
              <w:rPr>
                <w:rFonts w:eastAsia="仿宋_GB2312"/>
                <w:color w:val="000000"/>
                <w:sz w:val="28"/>
                <w:szCs w:val="28"/>
              </w:rPr>
              <w:t>日印发</w:t>
            </w:r>
          </w:p>
        </w:tc>
      </w:tr>
    </w:tbl>
    <w:p w:rsidR="00DD6381" w:rsidRPr="008C61CA" w:rsidRDefault="00DD6381" w:rsidP="005B449C">
      <w:pPr>
        <w:autoSpaceDE w:val="0"/>
        <w:autoSpaceDN w:val="0"/>
        <w:adjustRightInd w:val="0"/>
        <w:snapToGrid w:val="0"/>
        <w:spacing w:line="560" w:lineRule="exact"/>
        <w:jc w:val="center"/>
      </w:pPr>
    </w:p>
    <w:sectPr w:rsidR="00DD6381" w:rsidRPr="008C61CA">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A8D" w:rsidRDefault="00F62A8D">
      <w:r>
        <w:separator/>
      </w:r>
    </w:p>
  </w:endnote>
  <w:endnote w:type="continuationSeparator" w:id="0">
    <w:p w:rsidR="00F62A8D" w:rsidRDefault="00F6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00000000" w:usb1="00000000"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111B02" w:rsidRPr="00111B02">
      <w:rPr>
        <w:rFonts w:ascii="宋体" w:hAnsi="宋体"/>
        <w:noProof/>
        <w:sz w:val="28"/>
        <w:szCs w:val="28"/>
        <w:lang w:val="zh-CN"/>
      </w:rPr>
      <w:t>-</w:t>
    </w:r>
    <w:r w:rsidR="00111B02">
      <w:rPr>
        <w:rFonts w:ascii="宋体" w:hAnsi="宋体"/>
        <w:noProof/>
        <w:sz w:val="28"/>
        <w:szCs w:val="28"/>
      </w:rPr>
      <w:t xml:space="preserve"> 6 -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111B02" w:rsidRPr="00111B02">
      <w:rPr>
        <w:rFonts w:ascii="宋体" w:hAnsi="宋体"/>
        <w:noProof/>
        <w:sz w:val="28"/>
        <w:szCs w:val="28"/>
        <w:lang w:val="zh-CN"/>
      </w:rPr>
      <w:t>-</w:t>
    </w:r>
    <w:r w:rsidR="00111B02">
      <w:rPr>
        <w:rFonts w:ascii="宋体" w:hAnsi="宋体"/>
        <w:noProof/>
        <w:sz w:val="28"/>
        <w:szCs w:val="28"/>
      </w:rPr>
      <w:t xml:space="preserve"> 1 -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A8D" w:rsidRDefault="00F62A8D">
      <w:r>
        <w:separator/>
      </w:r>
    </w:p>
  </w:footnote>
  <w:footnote w:type="continuationSeparator" w:id="0">
    <w:p w:rsidR="00F62A8D" w:rsidRDefault="00F62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8E0813A"/>
    <w:multiLevelType w:val="singleLevel"/>
    <w:tmpl w:val="38E0813A"/>
    <w:lvl w:ilvl="0">
      <w:start w:val="1"/>
      <w:numFmt w:val="chineseCounting"/>
      <w:suff w:val="nothing"/>
      <w:lvlText w:val="%1、"/>
      <w:lvlJc w:val="left"/>
      <w:rPr>
        <w:rFonts w:hint="eastAsia"/>
      </w:rPr>
    </w:lvl>
  </w:abstractNum>
  <w:abstractNum w:abstractNumId="4">
    <w:nsid w:val="5295BDB7"/>
    <w:multiLevelType w:val="singleLevel"/>
    <w:tmpl w:val="5295BDB7"/>
    <w:lvl w:ilvl="0">
      <w:start w:val="5"/>
      <w:numFmt w:val="decimal"/>
      <w:suff w:val="nothing"/>
      <w:lvlText w:val="%1、"/>
      <w:lvlJc w:val="left"/>
    </w:lvl>
  </w:abstractNum>
  <w:abstractNum w:abstractNumId="5">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134F"/>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1CA"/>
    <w:rsid w:val="008C6F24"/>
    <w:rsid w:val="008C7FCB"/>
    <w:rsid w:val="008D292C"/>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4917"/>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5C64"/>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024E"/>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427</Words>
  <Characters>2438</Characters>
  <Application>Microsoft Office Word</Application>
  <DocSecurity>0</DocSecurity>
  <Lines>20</Lines>
  <Paragraphs>5</Paragraphs>
  <ScaleCrop>false</ScaleCrop>
  <Company>MC SYSTEM</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4</cp:revision>
  <cp:lastPrinted>2025-06-06T06:43:00Z</cp:lastPrinted>
  <dcterms:created xsi:type="dcterms:W3CDTF">2025-06-06T06:33:00Z</dcterms:created>
  <dcterms:modified xsi:type="dcterms:W3CDTF">2025-06-06T06:44:00Z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