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434D79" w:rsidRDefault="00EE433E" w:rsidP="008A4394">
      <w:pPr>
        <w:spacing w:beforeLines="1050" w:before="3276" w:afterLines="200" w:after="624" w:line="560" w:lineRule="exact"/>
        <w:ind w:rightChars="-159" w:right="-334"/>
        <w:jc w:val="center"/>
        <w:rPr>
          <w:rFonts w:eastAsia="方正小标宋_GBK"/>
          <w:color w:val="000000" w:themeColor="text1"/>
          <w:sz w:val="44"/>
          <w:szCs w:val="44"/>
        </w:rPr>
      </w:pPr>
      <w:r w:rsidRPr="00434D79">
        <w:rPr>
          <w:rFonts w:eastAsia="仿宋_GB2312"/>
          <w:color w:val="000000" w:themeColor="text1"/>
          <w:sz w:val="32"/>
          <w:szCs w:val="32"/>
        </w:rPr>
        <w:t>黄</w:t>
      </w:r>
      <w:r w:rsidR="008A4394" w:rsidRPr="00434D79">
        <w:rPr>
          <w:rFonts w:eastAsia="仿宋_GB2312"/>
          <w:color w:val="000000" w:themeColor="text1"/>
          <w:sz w:val="32"/>
          <w:szCs w:val="32"/>
        </w:rPr>
        <w:t>环</w:t>
      </w:r>
      <w:r w:rsidR="00C61281" w:rsidRPr="00434D79">
        <w:rPr>
          <w:rFonts w:eastAsia="仿宋_GB2312"/>
          <w:color w:val="000000" w:themeColor="text1"/>
          <w:sz w:val="32"/>
          <w:szCs w:val="32"/>
        </w:rPr>
        <w:t>建函〔</w:t>
      </w:r>
      <w:r w:rsidR="00C61281" w:rsidRPr="00434D79">
        <w:rPr>
          <w:rFonts w:eastAsia="仿宋_GB2312"/>
          <w:color w:val="000000" w:themeColor="text1"/>
          <w:sz w:val="32"/>
          <w:szCs w:val="32"/>
        </w:rPr>
        <w:t>202</w:t>
      </w:r>
      <w:r w:rsidR="00165D45" w:rsidRPr="00434D79">
        <w:rPr>
          <w:rFonts w:eastAsia="仿宋_GB2312"/>
          <w:color w:val="000000" w:themeColor="text1"/>
          <w:sz w:val="32"/>
          <w:szCs w:val="32"/>
        </w:rPr>
        <w:t>5</w:t>
      </w:r>
      <w:r w:rsidR="00C61281" w:rsidRPr="00434D79">
        <w:rPr>
          <w:rFonts w:eastAsia="仿宋_GB2312"/>
          <w:color w:val="000000" w:themeColor="text1"/>
          <w:sz w:val="32"/>
          <w:szCs w:val="32"/>
        </w:rPr>
        <w:t>〕</w:t>
      </w:r>
      <w:r w:rsidR="00434D79" w:rsidRPr="00434D79">
        <w:rPr>
          <w:rFonts w:eastAsia="仿宋_GB2312"/>
          <w:color w:val="000000" w:themeColor="text1"/>
          <w:sz w:val="32"/>
          <w:szCs w:val="32"/>
        </w:rPr>
        <w:t>10</w:t>
      </w:r>
      <w:r w:rsidR="00C61281" w:rsidRPr="00434D79">
        <w:rPr>
          <w:rFonts w:eastAsia="仿宋_GB2312"/>
          <w:color w:val="000000" w:themeColor="text1"/>
          <w:sz w:val="32"/>
          <w:szCs w:val="32"/>
        </w:rPr>
        <w:t>号</w:t>
      </w:r>
    </w:p>
    <w:p w:rsidR="00434D79" w:rsidRPr="00434D79" w:rsidRDefault="00434D79" w:rsidP="00434D79">
      <w:pPr>
        <w:autoSpaceDE w:val="0"/>
        <w:autoSpaceDN w:val="0"/>
        <w:adjustRightInd w:val="0"/>
        <w:snapToGrid w:val="0"/>
        <w:spacing w:line="560" w:lineRule="exact"/>
        <w:jc w:val="center"/>
        <w:rPr>
          <w:rFonts w:eastAsia="方正小标宋_GBK"/>
          <w:color w:val="000000"/>
          <w:sz w:val="44"/>
          <w:szCs w:val="44"/>
        </w:rPr>
      </w:pPr>
      <w:r w:rsidRPr="00434D79">
        <w:rPr>
          <w:rFonts w:eastAsia="方正小标宋_GBK"/>
          <w:color w:val="000000"/>
          <w:sz w:val="44"/>
          <w:szCs w:val="44"/>
        </w:rPr>
        <w:t>关于中广核新能源（黄山）有限公司中广核黄山市高新区</w:t>
      </w:r>
      <w:r w:rsidRPr="00434D79">
        <w:rPr>
          <w:rFonts w:eastAsia="方正小标宋_GBK"/>
          <w:color w:val="000000"/>
          <w:sz w:val="44"/>
          <w:szCs w:val="44"/>
        </w:rPr>
        <w:t>104MW/208MWh</w:t>
      </w:r>
      <w:r w:rsidRPr="00434D79">
        <w:rPr>
          <w:rFonts w:eastAsia="方正小标宋_GBK"/>
          <w:color w:val="000000"/>
          <w:sz w:val="44"/>
          <w:szCs w:val="44"/>
        </w:rPr>
        <w:t>储能电站</w:t>
      </w:r>
    </w:p>
    <w:p w:rsidR="00434D79" w:rsidRPr="00434D79" w:rsidRDefault="00434D79" w:rsidP="00434D79">
      <w:pPr>
        <w:autoSpaceDE w:val="0"/>
        <w:autoSpaceDN w:val="0"/>
        <w:adjustRightInd w:val="0"/>
        <w:snapToGrid w:val="0"/>
        <w:spacing w:line="560" w:lineRule="exact"/>
        <w:jc w:val="center"/>
        <w:rPr>
          <w:rFonts w:eastAsia="方正小标宋_GBK"/>
          <w:color w:val="000000"/>
          <w:sz w:val="44"/>
          <w:szCs w:val="44"/>
        </w:rPr>
      </w:pPr>
      <w:r w:rsidRPr="00434D79">
        <w:rPr>
          <w:rFonts w:eastAsia="方正小标宋_GBK"/>
          <w:color w:val="000000"/>
          <w:sz w:val="44"/>
          <w:szCs w:val="44"/>
        </w:rPr>
        <w:t>项目环境影响报告表的批复</w:t>
      </w:r>
    </w:p>
    <w:p w:rsidR="00434D79" w:rsidRPr="00434D79" w:rsidRDefault="00434D79" w:rsidP="00434D79">
      <w:pPr>
        <w:adjustRightInd w:val="0"/>
        <w:snapToGrid w:val="0"/>
        <w:spacing w:line="560" w:lineRule="exact"/>
        <w:ind w:firstLineChars="200" w:firstLine="618"/>
        <w:rPr>
          <w:rFonts w:eastAsia="仿宋_GB2312"/>
          <w:b/>
          <w:bCs/>
          <w:spacing w:val="-6"/>
          <w:sz w:val="32"/>
          <w:szCs w:val="32"/>
        </w:rPr>
      </w:pPr>
    </w:p>
    <w:p w:rsidR="00434D79" w:rsidRPr="00434D79" w:rsidRDefault="00434D79" w:rsidP="00434D79">
      <w:pPr>
        <w:spacing w:line="560" w:lineRule="exact"/>
        <w:rPr>
          <w:rFonts w:eastAsia="仿宋_GB2312"/>
          <w:color w:val="000000"/>
          <w:sz w:val="32"/>
          <w:szCs w:val="32"/>
        </w:rPr>
      </w:pPr>
      <w:r w:rsidRPr="00434D79">
        <w:rPr>
          <w:rFonts w:eastAsia="仿宋_GB2312"/>
          <w:color w:val="000000"/>
          <w:sz w:val="32"/>
          <w:szCs w:val="32"/>
        </w:rPr>
        <w:t>中广核新能源（黄山）有限公司：</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你公司报来中广核黄山市高新区</w:t>
      </w:r>
      <w:r w:rsidRPr="00434D79">
        <w:rPr>
          <w:rFonts w:eastAsia="仿宋_GB2312"/>
          <w:color w:val="000000"/>
          <w:sz w:val="32"/>
          <w:szCs w:val="32"/>
        </w:rPr>
        <w:t>104MW/208MWh</w:t>
      </w:r>
      <w:r w:rsidRPr="00434D79">
        <w:rPr>
          <w:rFonts w:eastAsia="仿宋_GB2312"/>
          <w:color w:val="000000"/>
          <w:sz w:val="32"/>
          <w:szCs w:val="32"/>
        </w:rPr>
        <w:t>储能电站项目《行政许可申请书》和</w:t>
      </w:r>
      <w:proofErr w:type="gramStart"/>
      <w:r w:rsidRPr="00434D79">
        <w:rPr>
          <w:rFonts w:eastAsia="仿宋_GB2312"/>
          <w:color w:val="000000"/>
          <w:sz w:val="32"/>
          <w:szCs w:val="32"/>
        </w:rPr>
        <w:t>安徽众帆环境工程</w:t>
      </w:r>
      <w:proofErr w:type="gramEnd"/>
      <w:r w:rsidRPr="00434D79">
        <w:rPr>
          <w:rFonts w:eastAsia="仿宋_GB2312"/>
          <w:color w:val="000000"/>
          <w:sz w:val="32"/>
          <w:szCs w:val="32"/>
        </w:rPr>
        <w:t>有限公司编制的《中广核新能源（黄山）有限公司中广核黄山市高新区</w:t>
      </w:r>
      <w:r w:rsidRPr="00434D79">
        <w:rPr>
          <w:rFonts w:eastAsia="仿宋_GB2312"/>
          <w:color w:val="000000"/>
          <w:sz w:val="32"/>
          <w:szCs w:val="32"/>
        </w:rPr>
        <w:t>104MW/208MWh</w:t>
      </w:r>
      <w:r w:rsidRPr="00434D79">
        <w:rPr>
          <w:rFonts w:eastAsia="仿宋_GB2312"/>
          <w:color w:val="000000"/>
          <w:sz w:val="32"/>
          <w:szCs w:val="32"/>
        </w:rPr>
        <w:t>储能电站项目环境影响报告表》（以下简称《报告表》）收悉。经专家技术函审，并在黄山市生态环境局网站公示，公示期间公众无异议。经研究，现对《报告表》批复如下：</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一、项目位于安徽黄山高新技术产业开发区，总投资</w:t>
      </w:r>
      <w:r w:rsidRPr="00434D79">
        <w:rPr>
          <w:rFonts w:eastAsia="仿宋_GB2312"/>
          <w:color w:val="000000"/>
          <w:sz w:val="32"/>
          <w:szCs w:val="32"/>
        </w:rPr>
        <w:t>24000</w:t>
      </w:r>
      <w:r w:rsidRPr="00434D79">
        <w:rPr>
          <w:rFonts w:eastAsia="仿宋_GB2312"/>
          <w:color w:val="000000"/>
          <w:sz w:val="32"/>
          <w:szCs w:val="32"/>
        </w:rPr>
        <w:t>万元，其中环保投资</w:t>
      </w:r>
      <w:r w:rsidRPr="00434D79">
        <w:rPr>
          <w:rFonts w:eastAsia="仿宋_GB2312"/>
          <w:color w:val="000000"/>
          <w:sz w:val="32"/>
          <w:szCs w:val="32"/>
        </w:rPr>
        <w:t>333</w:t>
      </w:r>
      <w:r w:rsidRPr="00434D79">
        <w:rPr>
          <w:rFonts w:eastAsia="仿宋_GB2312"/>
          <w:color w:val="000000"/>
          <w:sz w:val="32"/>
          <w:szCs w:val="32"/>
        </w:rPr>
        <w:t>万元。项目总占地面积约</w:t>
      </w:r>
      <w:r w:rsidRPr="00434D79">
        <w:rPr>
          <w:rFonts w:eastAsia="仿宋_GB2312"/>
          <w:color w:val="000000"/>
          <w:sz w:val="32"/>
          <w:szCs w:val="32"/>
        </w:rPr>
        <w:t>16666m</w:t>
      </w:r>
      <w:r w:rsidRPr="00434D79">
        <w:rPr>
          <w:rFonts w:eastAsia="仿宋_GB2312"/>
          <w:color w:val="000000"/>
          <w:sz w:val="32"/>
          <w:szCs w:val="32"/>
          <w:vertAlign w:val="superscript"/>
        </w:rPr>
        <w:t>2</w:t>
      </w:r>
      <w:r w:rsidRPr="00434D79">
        <w:rPr>
          <w:rFonts w:eastAsia="仿宋_GB2312"/>
          <w:color w:val="000000"/>
          <w:sz w:val="32"/>
          <w:szCs w:val="32"/>
        </w:rPr>
        <w:t>，主要建设</w:t>
      </w:r>
      <w:r w:rsidRPr="00434D79">
        <w:rPr>
          <w:rFonts w:eastAsia="仿宋_GB2312"/>
          <w:color w:val="000000"/>
          <w:sz w:val="32"/>
          <w:szCs w:val="32"/>
        </w:rPr>
        <w:t>1</w:t>
      </w:r>
      <w:r w:rsidRPr="00434D79">
        <w:rPr>
          <w:rFonts w:eastAsia="仿宋_GB2312"/>
          <w:color w:val="000000"/>
          <w:sz w:val="32"/>
          <w:szCs w:val="32"/>
        </w:rPr>
        <w:t>座装机容量</w:t>
      </w:r>
      <w:r w:rsidRPr="00434D79">
        <w:rPr>
          <w:rFonts w:eastAsia="仿宋_GB2312"/>
          <w:color w:val="000000"/>
          <w:sz w:val="32"/>
          <w:szCs w:val="32"/>
        </w:rPr>
        <w:t>104MW/208MWh</w:t>
      </w:r>
      <w:r w:rsidRPr="00434D79">
        <w:rPr>
          <w:rFonts w:eastAsia="仿宋_GB2312"/>
          <w:color w:val="000000"/>
          <w:sz w:val="32"/>
          <w:szCs w:val="32"/>
        </w:rPr>
        <w:t>集中式电化学电网侧储能电站，其中一期建设</w:t>
      </w:r>
      <w:r w:rsidRPr="00434D79">
        <w:rPr>
          <w:rFonts w:eastAsia="仿宋_GB2312"/>
          <w:color w:val="000000"/>
          <w:sz w:val="32"/>
          <w:szCs w:val="32"/>
        </w:rPr>
        <w:t>51MW/104MWh</w:t>
      </w:r>
      <w:r w:rsidRPr="00434D79">
        <w:rPr>
          <w:rFonts w:eastAsia="仿宋_GB2312"/>
          <w:color w:val="000000"/>
          <w:sz w:val="32"/>
          <w:szCs w:val="32"/>
        </w:rPr>
        <w:t>，二</w:t>
      </w:r>
      <w:r w:rsidRPr="00434D79">
        <w:rPr>
          <w:rFonts w:eastAsia="仿宋_GB2312"/>
          <w:color w:val="000000"/>
          <w:sz w:val="32"/>
          <w:szCs w:val="32"/>
        </w:rPr>
        <w:lastRenderedPageBreak/>
        <w:t>期建设</w:t>
      </w:r>
      <w:r w:rsidRPr="00434D79">
        <w:rPr>
          <w:rFonts w:eastAsia="仿宋_GB2312"/>
          <w:color w:val="000000"/>
          <w:sz w:val="32"/>
          <w:szCs w:val="32"/>
        </w:rPr>
        <w:t>53MW/104MWh</w:t>
      </w:r>
      <w:r w:rsidRPr="00434D79">
        <w:rPr>
          <w:rFonts w:eastAsia="仿宋_GB2312"/>
          <w:color w:val="000000"/>
          <w:sz w:val="32"/>
          <w:szCs w:val="32"/>
        </w:rPr>
        <w:t>，配套建设</w:t>
      </w:r>
      <w:r w:rsidRPr="00434D79">
        <w:rPr>
          <w:rFonts w:eastAsia="仿宋_GB2312"/>
          <w:color w:val="000000"/>
          <w:sz w:val="32"/>
          <w:szCs w:val="32"/>
        </w:rPr>
        <w:t>220kV</w:t>
      </w:r>
      <w:proofErr w:type="gramStart"/>
      <w:r w:rsidRPr="00434D79">
        <w:rPr>
          <w:rFonts w:eastAsia="仿宋_GB2312"/>
          <w:color w:val="000000"/>
          <w:sz w:val="32"/>
          <w:szCs w:val="32"/>
        </w:rPr>
        <w:t>升压站</w:t>
      </w:r>
      <w:proofErr w:type="gramEnd"/>
      <w:r w:rsidRPr="00434D79">
        <w:rPr>
          <w:rFonts w:eastAsia="仿宋_GB2312"/>
          <w:color w:val="000000"/>
          <w:sz w:val="32"/>
          <w:szCs w:val="32"/>
        </w:rPr>
        <w:t>一座、综合办公楼一座。项目已纳入《安徽省新型储能</w:t>
      </w:r>
      <w:r w:rsidRPr="00434D79">
        <w:rPr>
          <w:rFonts w:eastAsia="仿宋_GB2312"/>
          <w:color w:val="000000"/>
          <w:sz w:val="32"/>
          <w:szCs w:val="32"/>
        </w:rPr>
        <w:t>2024</w:t>
      </w:r>
      <w:r w:rsidRPr="00434D79">
        <w:rPr>
          <w:rFonts w:eastAsia="仿宋_GB2312"/>
          <w:color w:val="000000"/>
          <w:sz w:val="32"/>
          <w:szCs w:val="32"/>
        </w:rPr>
        <w:t>年度实施项目清单》。</w:t>
      </w:r>
    </w:p>
    <w:p w:rsidR="00434D79" w:rsidRPr="00434D79" w:rsidRDefault="00434D79" w:rsidP="00434D79">
      <w:pPr>
        <w:spacing w:line="560" w:lineRule="exact"/>
        <w:ind w:firstLineChars="200" w:firstLine="640"/>
        <w:rPr>
          <w:rFonts w:eastAsia="仿宋_GB2312"/>
          <w:color w:val="000000"/>
          <w:sz w:val="32"/>
          <w:szCs w:val="32"/>
          <w:lang w:val="zh-CN"/>
        </w:rPr>
      </w:pPr>
      <w:r w:rsidRPr="00434D79">
        <w:rPr>
          <w:rFonts w:eastAsia="仿宋_GB2312"/>
          <w:color w:val="000000"/>
          <w:sz w:val="32"/>
          <w:szCs w:val="32"/>
        </w:rPr>
        <w:t>二、我局经研究，从生态环境保护角度，同意你公司按《报告表》所列建设项目的性质、规模、地点和</w:t>
      </w:r>
      <w:proofErr w:type="gramStart"/>
      <w:r w:rsidRPr="00434D79">
        <w:rPr>
          <w:rFonts w:eastAsia="仿宋_GB2312"/>
          <w:color w:val="000000"/>
          <w:sz w:val="32"/>
          <w:szCs w:val="32"/>
        </w:rPr>
        <w:t>拟采取</w:t>
      </w:r>
      <w:proofErr w:type="gramEnd"/>
      <w:r w:rsidRPr="00434D79">
        <w:rPr>
          <w:rFonts w:eastAsia="仿宋_GB2312"/>
          <w:color w:val="000000"/>
          <w:sz w:val="32"/>
          <w:szCs w:val="32"/>
        </w:rPr>
        <w:t>的各项污染防治、生态保护措施进行建设，并重</w:t>
      </w:r>
      <w:r w:rsidRPr="00434D79">
        <w:rPr>
          <w:rFonts w:eastAsia="仿宋_GB2312"/>
          <w:color w:val="000000"/>
          <w:sz w:val="32"/>
          <w:szCs w:val="32"/>
          <w:lang w:val="zh-CN"/>
        </w:rPr>
        <w:t>点做好以下工作。</w:t>
      </w:r>
    </w:p>
    <w:p w:rsidR="00434D79" w:rsidRPr="00434D79" w:rsidRDefault="00434D79" w:rsidP="00434D79">
      <w:pPr>
        <w:widowControl/>
        <w:adjustRightInd w:val="0"/>
        <w:snapToGrid w:val="0"/>
        <w:spacing w:line="560" w:lineRule="exact"/>
        <w:ind w:firstLineChars="200" w:firstLine="640"/>
        <w:rPr>
          <w:rFonts w:eastAsia="仿宋_GB2312"/>
          <w:color w:val="000000"/>
          <w:sz w:val="32"/>
          <w:szCs w:val="32"/>
        </w:rPr>
      </w:pPr>
      <w:r w:rsidRPr="00434D79">
        <w:rPr>
          <w:rFonts w:eastAsia="仿宋_GB2312"/>
          <w:color w:val="000000"/>
          <w:sz w:val="32"/>
          <w:szCs w:val="32"/>
        </w:rPr>
        <w:t>（一）切实落实各项生态保护措施。应制</w:t>
      </w:r>
      <w:proofErr w:type="gramStart"/>
      <w:r w:rsidRPr="00434D79">
        <w:rPr>
          <w:rFonts w:eastAsia="仿宋_GB2312"/>
          <w:color w:val="000000"/>
          <w:sz w:val="32"/>
          <w:szCs w:val="32"/>
        </w:rPr>
        <w:t>定科学</w:t>
      </w:r>
      <w:proofErr w:type="gramEnd"/>
      <w:r w:rsidRPr="00434D79">
        <w:rPr>
          <w:rFonts w:eastAsia="仿宋_GB2312"/>
          <w:color w:val="000000"/>
          <w:sz w:val="32"/>
          <w:szCs w:val="32"/>
        </w:rPr>
        <w:t>的施工计划，合理设置施工场地，严格控制施工范围，表土应单独堆存并做好覆盖、围挡等防护措施，并及时进行生态恢复，最大程度减少项目建设对生态环境的影响。</w:t>
      </w:r>
    </w:p>
    <w:p w:rsidR="00434D79" w:rsidRPr="00434D79" w:rsidRDefault="00434D79" w:rsidP="00434D79">
      <w:pPr>
        <w:widowControl/>
        <w:adjustRightInd w:val="0"/>
        <w:snapToGrid w:val="0"/>
        <w:spacing w:line="560" w:lineRule="exact"/>
        <w:ind w:firstLineChars="200" w:firstLine="640"/>
        <w:rPr>
          <w:rFonts w:eastAsia="仿宋_GB2312"/>
          <w:color w:val="000000"/>
          <w:sz w:val="32"/>
          <w:szCs w:val="32"/>
        </w:rPr>
      </w:pPr>
      <w:r w:rsidRPr="00434D79">
        <w:rPr>
          <w:rFonts w:eastAsia="仿宋_GB2312"/>
          <w:color w:val="000000"/>
          <w:sz w:val="32"/>
          <w:szCs w:val="32"/>
        </w:rPr>
        <w:t>（二）严格落实工频电场、工频磁场等环境保护措施。对</w:t>
      </w:r>
      <w:proofErr w:type="gramStart"/>
      <w:r w:rsidRPr="00434D79">
        <w:rPr>
          <w:rFonts w:eastAsia="仿宋_GB2312"/>
          <w:color w:val="000000"/>
          <w:sz w:val="32"/>
          <w:szCs w:val="32"/>
        </w:rPr>
        <w:t>升压站</w:t>
      </w:r>
      <w:proofErr w:type="gramEnd"/>
      <w:r w:rsidRPr="00434D79">
        <w:rPr>
          <w:rFonts w:eastAsia="仿宋_GB2312"/>
          <w:color w:val="000000"/>
          <w:sz w:val="32"/>
          <w:szCs w:val="32"/>
        </w:rPr>
        <w:t>的电气设备进行合理布局，选用具有抗干扰能力的设备，站内平行跨导线的相序排列避免同相布置，减少同相母线交叉与相同转角布置，确保本项目周边电磁环境符合《电磁环境控制限值》（</w:t>
      </w:r>
      <w:r w:rsidRPr="00434D79">
        <w:rPr>
          <w:rFonts w:eastAsia="仿宋_GB2312"/>
          <w:color w:val="000000"/>
          <w:sz w:val="32"/>
          <w:szCs w:val="32"/>
        </w:rPr>
        <w:t>GB8702-2014</w:t>
      </w:r>
      <w:r w:rsidRPr="00434D79">
        <w:rPr>
          <w:rFonts w:eastAsia="仿宋_GB2312"/>
          <w:color w:val="000000"/>
          <w:sz w:val="32"/>
          <w:szCs w:val="32"/>
        </w:rPr>
        <w:t>）表</w:t>
      </w:r>
      <w:r w:rsidRPr="00434D79">
        <w:rPr>
          <w:rFonts w:eastAsia="仿宋_GB2312"/>
          <w:color w:val="000000"/>
          <w:sz w:val="32"/>
          <w:szCs w:val="32"/>
        </w:rPr>
        <w:t>1“</w:t>
      </w:r>
      <w:r w:rsidRPr="00434D79">
        <w:rPr>
          <w:rFonts w:eastAsia="仿宋_GB2312"/>
          <w:color w:val="000000"/>
          <w:sz w:val="32"/>
          <w:szCs w:val="32"/>
        </w:rPr>
        <w:t>公众曝露控制限值</w:t>
      </w:r>
      <w:r w:rsidRPr="00434D79">
        <w:rPr>
          <w:rFonts w:eastAsia="仿宋_GB2312"/>
          <w:color w:val="000000"/>
          <w:sz w:val="32"/>
          <w:szCs w:val="32"/>
        </w:rPr>
        <w:t>”</w:t>
      </w:r>
      <w:r w:rsidRPr="00434D79">
        <w:rPr>
          <w:rFonts w:eastAsia="仿宋_GB2312"/>
          <w:color w:val="000000"/>
          <w:sz w:val="32"/>
          <w:szCs w:val="32"/>
        </w:rPr>
        <w:t>要求（工频电场强度控制限值为</w:t>
      </w:r>
      <w:r w:rsidRPr="00434D79">
        <w:rPr>
          <w:rFonts w:eastAsia="仿宋_GB2312"/>
          <w:color w:val="000000"/>
          <w:sz w:val="32"/>
          <w:szCs w:val="32"/>
        </w:rPr>
        <w:t>4000V/m</w:t>
      </w:r>
      <w:r w:rsidRPr="00434D79">
        <w:rPr>
          <w:rFonts w:eastAsia="仿宋_GB2312"/>
          <w:color w:val="000000"/>
          <w:sz w:val="32"/>
          <w:szCs w:val="32"/>
        </w:rPr>
        <w:t>，工频磁感应强度控制限值为</w:t>
      </w:r>
      <w:r w:rsidRPr="00434D79">
        <w:rPr>
          <w:rFonts w:eastAsia="仿宋_GB2312"/>
          <w:color w:val="000000"/>
          <w:sz w:val="32"/>
          <w:szCs w:val="32"/>
        </w:rPr>
        <w:t>100μT</w:t>
      </w:r>
      <w:r w:rsidRPr="00434D79">
        <w:rPr>
          <w:rFonts w:eastAsia="仿宋_GB2312"/>
          <w:color w:val="000000"/>
          <w:sz w:val="32"/>
          <w:szCs w:val="32"/>
        </w:rPr>
        <w:t>），</w:t>
      </w:r>
      <w:proofErr w:type="gramStart"/>
      <w:r w:rsidRPr="00434D79">
        <w:rPr>
          <w:rFonts w:eastAsia="仿宋_GB2312"/>
          <w:color w:val="000000"/>
          <w:sz w:val="32"/>
          <w:szCs w:val="32"/>
        </w:rPr>
        <w:t>升压站</w:t>
      </w:r>
      <w:proofErr w:type="gramEnd"/>
      <w:r w:rsidRPr="00434D79">
        <w:rPr>
          <w:rFonts w:eastAsia="仿宋_GB2312"/>
          <w:color w:val="000000"/>
          <w:sz w:val="32"/>
          <w:szCs w:val="32"/>
        </w:rPr>
        <w:t>周边应设置警示和防护指示标志，确保电力设施和人员安全。</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三）落实大气环境保护措施。施工过程中应落实场地围挡、覆盖、路面硬化、出入车辆清洗、渣土车辆密闭运输等措施，按照《安徽省大气污染防治条例》《安徽省建筑工程施工扬尘污染防治规定》《黄山市建设工程扬尘污染防治管理办法》要求，防止扬尘污染，颗粒物应达到《施工场地颗粒物排放标准》（</w:t>
      </w:r>
      <w:r w:rsidRPr="00434D79">
        <w:rPr>
          <w:rFonts w:eastAsia="仿宋_GB2312"/>
          <w:color w:val="000000"/>
          <w:sz w:val="32"/>
          <w:szCs w:val="32"/>
        </w:rPr>
        <w:t>DB34/4811-2024</w:t>
      </w:r>
      <w:r w:rsidRPr="00434D79">
        <w:rPr>
          <w:rFonts w:eastAsia="仿宋_GB2312"/>
          <w:color w:val="000000"/>
          <w:sz w:val="32"/>
          <w:szCs w:val="32"/>
        </w:rPr>
        <w:t>）限值要求，保障施工</w:t>
      </w:r>
      <w:r w:rsidRPr="00434D79">
        <w:rPr>
          <w:rFonts w:eastAsia="仿宋_GB2312"/>
          <w:color w:val="000000"/>
          <w:sz w:val="32"/>
          <w:szCs w:val="32"/>
        </w:rPr>
        <w:lastRenderedPageBreak/>
        <w:t>场地周边环境达到《环境空气质量标准》</w:t>
      </w:r>
      <w:r w:rsidRPr="00434D79">
        <w:rPr>
          <w:rFonts w:eastAsia="仿宋_GB2312"/>
          <w:color w:val="000000"/>
          <w:sz w:val="32"/>
          <w:szCs w:val="32"/>
        </w:rPr>
        <w:t>(GB3095-2012)</w:t>
      </w:r>
      <w:r w:rsidRPr="00434D79">
        <w:rPr>
          <w:rFonts w:eastAsia="仿宋_GB2312"/>
          <w:color w:val="000000"/>
          <w:sz w:val="32"/>
          <w:szCs w:val="32"/>
        </w:rPr>
        <w:t>及</w:t>
      </w:r>
      <w:r w:rsidRPr="00434D79">
        <w:rPr>
          <w:rFonts w:eastAsia="仿宋_GB2312"/>
          <w:color w:val="000000"/>
          <w:sz w:val="32"/>
          <w:szCs w:val="32"/>
        </w:rPr>
        <w:t>2018</w:t>
      </w:r>
      <w:r w:rsidRPr="00434D79">
        <w:rPr>
          <w:rFonts w:eastAsia="仿宋_GB2312"/>
          <w:color w:val="000000"/>
          <w:sz w:val="32"/>
          <w:szCs w:val="32"/>
        </w:rPr>
        <w:t>年修改单表</w:t>
      </w:r>
      <w:r w:rsidRPr="00434D79">
        <w:rPr>
          <w:rFonts w:eastAsia="仿宋_GB2312"/>
          <w:color w:val="000000"/>
          <w:sz w:val="32"/>
          <w:szCs w:val="32"/>
        </w:rPr>
        <w:t>1</w:t>
      </w:r>
      <w:r w:rsidRPr="00434D79">
        <w:rPr>
          <w:rFonts w:eastAsia="仿宋_GB2312"/>
          <w:color w:val="000000"/>
          <w:sz w:val="32"/>
          <w:szCs w:val="32"/>
        </w:rPr>
        <w:t>、表</w:t>
      </w:r>
      <w:r w:rsidRPr="00434D79">
        <w:rPr>
          <w:rFonts w:eastAsia="仿宋_GB2312"/>
          <w:color w:val="000000"/>
          <w:sz w:val="32"/>
          <w:szCs w:val="32"/>
        </w:rPr>
        <w:t>2</w:t>
      </w:r>
      <w:r w:rsidRPr="00434D79">
        <w:rPr>
          <w:rFonts w:eastAsia="仿宋_GB2312"/>
          <w:color w:val="000000"/>
          <w:sz w:val="32"/>
          <w:szCs w:val="32"/>
        </w:rPr>
        <w:t>中的二级标准。</w:t>
      </w:r>
      <w:bookmarkStart w:id="0" w:name="OLE_LINK2"/>
      <w:bookmarkEnd w:id="0"/>
      <w:r w:rsidRPr="00434D79">
        <w:rPr>
          <w:rFonts w:eastAsia="仿宋_GB2312"/>
          <w:color w:val="000000"/>
          <w:sz w:val="32"/>
          <w:szCs w:val="32"/>
        </w:rPr>
        <w:t>运营期间食堂油烟经油烟净化器收集处理后通过专用烟道引至屋顶排放。</w:t>
      </w:r>
    </w:p>
    <w:p w:rsidR="00434D79" w:rsidRPr="00434D79" w:rsidRDefault="00434D79" w:rsidP="00434D79">
      <w:pPr>
        <w:widowControl/>
        <w:adjustRightInd w:val="0"/>
        <w:snapToGrid w:val="0"/>
        <w:spacing w:line="560" w:lineRule="exact"/>
        <w:ind w:firstLine="570"/>
        <w:rPr>
          <w:rFonts w:eastAsia="仿宋_GB2312"/>
          <w:sz w:val="32"/>
          <w:szCs w:val="32"/>
        </w:rPr>
      </w:pPr>
      <w:r w:rsidRPr="00434D79">
        <w:rPr>
          <w:rFonts w:eastAsia="仿宋_GB2312"/>
          <w:color w:val="000000"/>
          <w:sz w:val="32"/>
          <w:szCs w:val="32"/>
        </w:rPr>
        <w:t>（四）落实地表水环境保护措施。施工废水应设置沉淀池，经沉淀后循环使用不外</w:t>
      </w:r>
      <w:r w:rsidRPr="00434D79">
        <w:rPr>
          <w:rFonts w:eastAsia="仿宋_GB2312"/>
          <w:sz w:val="32"/>
          <w:szCs w:val="32"/>
        </w:rPr>
        <w:t>排；施工期及运营期生活污水经化粪池处理后排入园区污水管网进入黄山市第二水质净化厂处理后排入横江。</w:t>
      </w:r>
    </w:p>
    <w:p w:rsidR="00434D79" w:rsidRPr="00434D79" w:rsidRDefault="00434D79" w:rsidP="00434D79">
      <w:pPr>
        <w:widowControl/>
        <w:adjustRightInd w:val="0"/>
        <w:snapToGrid w:val="0"/>
        <w:spacing w:line="560" w:lineRule="exact"/>
        <w:ind w:firstLine="630"/>
        <w:rPr>
          <w:rFonts w:eastAsia="仿宋_GB2312"/>
          <w:sz w:val="32"/>
          <w:szCs w:val="32"/>
        </w:rPr>
      </w:pPr>
      <w:r w:rsidRPr="00434D79">
        <w:rPr>
          <w:rFonts w:eastAsia="仿宋_GB2312"/>
          <w:sz w:val="32"/>
          <w:szCs w:val="32"/>
        </w:rPr>
        <w:t>（五）做好固体废物污染防治工作。按照《中华人民共和国固体废物污染环境防治法》中有关规定做好固体废物全过程管理，工程挖填方做好土石方动态平衡，不得随意堆放；一般</w:t>
      </w:r>
      <w:proofErr w:type="gramStart"/>
      <w:r w:rsidRPr="00434D79">
        <w:rPr>
          <w:rFonts w:eastAsia="仿宋_GB2312"/>
          <w:sz w:val="32"/>
          <w:szCs w:val="32"/>
        </w:rPr>
        <w:t>固废应分类</w:t>
      </w:r>
      <w:proofErr w:type="gramEnd"/>
      <w:r w:rsidRPr="00434D79">
        <w:rPr>
          <w:rFonts w:eastAsia="仿宋_GB2312"/>
          <w:sz w:val="32"/>
          <w:szCs w:val="32"/>
        </w:rPr>
        <w:t>收集回收利用；危险废物废蓄电池、废矿物油按照《危险废物贮存污染控制标准》（</w:t>
      </w:r>
      <w:r w:rsidRPr="00434D79">
        <w:rPr>
          <w:rFonts w:eastAsia="仿宋_GB2312"/>
          <w:sz w:val="32"/>
          <w:szCs w:val="32"/>
        </w:rPr>
        <w:t>GB18597-2023</w:t>
      </w:r>
      <w:r w:rsidRPr="00434D79">
        <w:rPr>
          <w:rFonts w:eastAsia="仿宋_GB2312"/>
          <w:sz w:val="32"/>
          <w:szCs w:val="32"/>
        </w:rPr>
        <w:t>）的要求，委托有资质的专业机构对其进行处置，并做好处置记录，不得随意处置；生活垃圾委托环卫部门处置，不得随意丢弃。</w:t>
      </w:r>
    </w:p>
    <w:p w:rsidR="00434D79" w:rsidRPr="00434D79" w:rsidRDefault="00434D79" w:rsidP="00434D79">
      <w:pPr>
        <w:widowControl/>
        <w:adjustRightInd w:val="0"/>
        <w:snapToGrid w:val="0"/>
        <w:spacing w:line="560" w:lineRule="exact"/>
        <w:ind w:firstLine="570"/>
        <w:rPr>
          <w:rFonts w:eastAsia="仿宋_GB2312"/>
          <w:color w:val="000000"/>
          <w:sz w:val="32"/>
          <w:szCs w:val="32"/>
        </w:rPr>
      </w:pPr>
      <w:r w:rsidRPr="00434D79">
        <w:rPr>
          <w:rFonts w:eastAsia="仿宋_GB2312"/>
          <w:sz w:val="32"/>
          <w:szCs w:val="32"/>
        </w:rPr>
        <w:t>（六）落实噪声污染防治措施。合理安排施工时间，高噪声设备施工应避开敏感时段，控制噪声声源，选择低噪声的机械设备，加强现场运输管理，确保施工期噪声不得超过《建筑施工场界环境噪声排放标准》（</w:t>
      </w:r>
      <w:r w:rsidRPr="00434D79">
        <w:rPr>
          <w:rFonts w:eastAsia="仿宋_GB2312"/>
          <w:sz w:val="32"/>
          <w:szCs w:val="32"/>
        </w:rPr>
        <w:t>GB12523-2011</w:t>
      </w:r>
      <w:r w:rsidRPr="00434D79">
        <w:rPr>
          <w:rFonts w:eastAsia="仿宋_GB2312"/>
          <w:sz w:val="32"/>
          <w:szCs w:val="32"/>
        </w:rPr>
        <w:t>）规定的限值。优选低噪声电气设备，加强设备检修维护，确保运营期厂界南侧厂界噪声符合《工业企业厂界环</w:t>
      </w:r>
      <w:r w:rsidRPr="00434D79">
        <w:rPr>
          <w:rFonts w:eastAsia="仿宋_GB2312"/>
          <w:color w:val="000000"/>
          <w:sz w:val="32"/>
          <w:szCs w:val="32"/>
        </w:rPr>
        <w:t>境噪声排放标准》（</w:t>
      </w:r>
      <w:r w:rsidRPr="00434D79">
        <w:rPr>
          <w:rFonts w:eastAsia="仿宋_GB2312"/>
          <w:color w:val="000000"/>
          <w:sz w:val="32"/>
          <w:szCs w:val="32"/>
        </w:rPr>
        <w:t>GB12348-2008</w:t>
      </w:r>
      <w:r w:rsidRPr="00434D79">
        <w:rPr>
          <w:rFonts w:eastAsia="仿宋_GB2312"/>
          <w:color w:val="000000"/>
          <w:sz w:val="32"/>
          <w:szCs w:val="32"/>
        </w:rPr>
        <w:t>）中</w:t>
      </w:r>
      <w:r w:rsidRPr="00434D79">
        <w:rPr>
          <w:rFonts w:eastAsia="仿宋_GB2312"/>
          <w:color w:val="000000"/>
          <w:sz w:val="32"/>
          <w:szCs w:val="32"/>
        </w:rPr>
        <w:t>4</w:t>
      </w:r>
      <w:r w:rsidRPr="00434D79">
        <w:rPr>
          <w:rFonts w:eastAsia="仿宋_GB2312"/>
          <w:color w:val="000000"/>
          <w:sz w:val="32"/>
          <w:szCs w:val="32"/>
        </w:rPr>
        <w:t>类标准，其他厂界噪声符合《工业企业厂界环境噪声排放标准》（</w:t>
      </w:r>
      <w:r w:rsidRPr="00434D79">
        <w:rPr>
          <w:rFonts w:eastAsia="仿宋_GB2312"/>
          <w:color w:val="000000"/>
          <w:sz w:val="32"/>
          <w:szCs w:val="32"/>
        </w:rPr>
        <w:t>GB12348-2008</w:t>
      </w:r>
      <w:r w:rsidRPr="00434D79">
        <w:rPr>
          <w:rFonts w:eastAsia="仿宋_GB2312"/>
          <w:color w:val="000000"/>
          <w:sz w:val="32"/>
          <w:szCs w:val="32"/>
        </w:rPr>
        <w:t>）中</w:t>
      </w:r>
      <w:r w:rsidRPr="00434D79">
        <w:rPr>
          <w:rFonts w:eastAsia="仿宋_GB2312"/>
          <w:color w:val="000000"/>
          <w:sz w:val="32"/>
          <w:szCs w:val="32"/>
        </w:rPr>
        <w:t>3</w:t>
      </w:r>
      <w:r w:rsidRPr="00434D79">
        <w:rPr>
          <w:rFonts w:eastAsia="仿宋_GB2312"/>
          <w:color w:val="000000"/>
          <w:sz w:val="32"/>
          <w:szCs w:val="32"/>
        </w:rPr>
        <w:t>类标准。</w:t>
      </w:r>
    </w:p>
    <w:p w:rsidR="00434D79" w:rsidRPr="00434D79" w:rsidRDefault="00434D79" w:rsidP="00434D79">
      <w:pPr>
        <w:adjustRightInd w:val="0"/>
        <w:snapToGrid w:val="0"/>
        <w:spacing w:line="560" w:lineRule="exact"/>
        <w:ind w:firstLineChars="200" w:firstLine="640"/>
        <w:rPr>
          <w:rFonts w:eastAsia="仿宋_GB2312"/>
          <w:color w:val="000000"/>
          <w:sz w:val="32"/>
          <w:szCs w:val="32"/>
        </w:rPr>
      </w:pPr>
      <w:r w:rsidRPr="00434D79">
        <w:rPr>
          <w:rFonts w:eastAsia="仿宋_GB2312"/>
          <w:color w:val="000000"/>
          <w:sz w:val="32"/>
          <w:szCs w:val="32"/>
        </w:rPr>
        <w:lastRenderedPageBreak/>
        <w:t>（七）认真做好环境风险防范工作。新建一座</w:t>
      </w:r>
      <w:r w:rsidRPr="00434D79">
        <w:rPr>
          <w:rFonts w:eastAsia="仿宋_GB2312"/>
          <w:color w:val="000000"/>
          <w:sz w:val="32"/>
          <w:szCs w:val="32"/>
        </w:rPr>
        <w:t>35m</w:t>
      </w:r>
      <w:r w:rsidRPr="00434D79">
        <w:rPr>
          <w:rFonts w:eastAsia="仿宋_GB2312"/>
          <w:color w:val="000000"/>
          <w:sz w:val="32"/>
          <w:szCs w:val="32"/>
          <w:vertAlign w:val="superscript"/>
        </w:rPr>
        <w:t>3</w:t>
      </w:r>
      <w:r w:rsidRPr="00434D79">
        <w:rPr>
          <w:rFonts w:eastAsia="仿宋_GB2312"/>
          <w:color w:val="000000"/>
          <w:sz w:val="32"/>
          <w:szCs w:val="32"/>
        </w:rPr>
        <w:t>事故油池，并严格按《报告表》要求落实各项环境风险防范措施，制订切实可行的突发环境风险防范应急预案，并按预案进行演练；积极妥善处理施工和运营期间周边公众的合理诉求，落实社会稳定风险预防措施。</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三、项目应加强对工程建设期和营运期的环境管理工作，制订环境保护规章制度，设置环保管理机构，确定专人负责环保工作，配备必要的环境监测仪器和设备，制定环境监测计划，定期进行监测，加强对各项污染防治、生态保护设施的管理、维护，做好生态恢复</w:t>
      </w:r>
      <w:proofErr w:type="gramStart"/>
      <w:r w:rsidRPr="00434D79">
        <w:rPr>
          <w:rFonts w:eastAsia="仿宋_GB2312"/>
          <w:color w:val="000000"/>
          <w:sz w:val="32"/>
          <w:szCs w:val="32"/>
        </w:rPr>
        <w:t>及做到</w:t>
      </w:r>
      <w:proofErr w:type="gramEnd"/>
      <w:r w:rsidRPr="00434D79">
        <w:rPr>
          <w:rFonts w:eastAsia="仿宋_GB2312"/>
          <w:color w:val="000000"/>
          <w:sz w:val="32"/>
          <w:szCs w:val="32"/>
        </w:rPr>
        <w:t>污染物稳定达标排放。</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四、项目必须严格执行环境保护</w:t>
      </w:r>
      <w:r w:rsidRPr="00434D79">
        <w:rPr>
          <w:rFonts w:eastAsia="仿宋_GB2312"/>
          <w:color w:val="000000"/>
          <w:sz w:val="32"/>
          <w:szCs w:val="32"/>
        </w:rPr>
        <w:t>“</w:t>
      </w:r>
      <w:r w:rsidRPr="00434D79">
        <w:rPr>
          <w:rFonts w:eastAsia="仿宋_GB2312"/>
          <w:color w:val="000000"/>
          <w:sz w:val="32"/>
          <w:szCs w:val="32"/>
        </w:rPr>
        <w:t>三同时</w:t>
      </w:r>
      <w:r w:rsidRPr="00434D79">
        <w:rPr>
          <w:rFonts w:eastAsia="仿宋_GB2312"/>
          <w:color w:val="000000"/>
          <w:sz w:val="32"/>
          <w:szCs w:val="32"/>
        </w:rPr>
        <w:t>”</w:t>
      </w:r>
      <w:r w:rsidRPr="00434D79">
        <w:rPr>
          <w:rFonts w:eastAsia="仿宋_GB2312"/>
          <w:color w:val="000000"/>
          <w:sz w:val="32"/>
          <w:szCs w:val="32"/>
        </w:rPr>
        <w:t>制度。初步设计应当按照环境保护设计规范的要求，编制环境保护篇章，落实防治环境污染和生态破坏的措施以及环境保护设施投资概算。环保设施建设必须纳入施工合同，保证环保设施建设进度和资金。</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五、《报告表》经批准后，如项目的性质、规模、地点、采用的生产工艺或防治污染的措施发生重大变动的，应依法重新报批项目的环境影响评价文件。超过五年方才建设的，应依法报我局重新审核。</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六、国家对本项目应执行的环境标准</w:t>
      </w:r>
      <w:proofErr w:type="gramStart"/>
      <w:r w:rsidRPr="00434D79">
        <w:rPr>
          <w:rFonts w:eastAsia="仿宋_GB2312"/>
          <w:color w:val="000000"/>
          <w:sz w:val="32"/>
          <w:szCs w:val="32"/>
        </w:rPr>
        <w:t>作出</w:t>
      </w:r>
      <w:proofErr w:type="gramEnd"/>
      <w:r w:rsidRPr="00434D79">
        <w:rPr>
          <w:rFonts w:eastAsia="仿宋_GB2312"/>
          <w:color w:val="000000"/>
          <w:sz w:val="32"/>
          <w:szCs w:val="32"/>
        </w:rPr>
        <w:t>修订或新颁布的，执行新标准。</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七、项目建成后，应按照法定程序和要求及时开展建设项目竣工环境保护验收工作和验收信息报送工作。</w:t>
      </w:r>
    </w:p>
    <w:p w:rsidR="00434D79" w:rsidRPr="00434D79" w:rsidRDefault="00434D79" w:rsidP="00434D79">
      <w:pPr>
        <w:spacing w:line="560" w:lineRule="exact"/>
        <w:ind w:firstLineChars="200" w:firstLine="640"/>
        <w:rPr>
          <w:rFonts w:eastAsia="仿宋_GB2312"/>
          <w:color w:val="000000"/>
          <w:sz w:val="32"/>
          <w:szCs w:val="32"/>
        </w:rPr>
      </w:pPr>
      <w:r w:rsidRPr="00434D79">
        <w:rPr>
          <w:rFonts w:eastAsia="仿宋_GB2312"/>
          <w:color w:val="000000"/>
          <w:sz w:val="32"/>
          <w:szCs w:val="32"/>
        </w:rPr>
        <w:t>八、涉及与本项目有关的法律、法规、政策等要求的，</w:t>
      </w:r>
      <w:r w:rsidRPr="00434D79">
        <w:rPr>
          <w:rFonts w:eastAsia="仿宋_GB2312"/>
          <w:color w:val="000000"/>
          <w:sz w:val="32"/>
          <w:szCs w:val="32"/>
        </w:rPr>
        <w:lastRenderedPageBreak/>
        <w:t>从其规定，并依法严格执行相关主管部门规定，取得相关主管部门法定许可后方可开工。</w:t>
      </w:r>
    </w:p>
    <w:p w:rsidR="00434D79" w:rsidRPr="00434D79" w:rsidRDefault="00434D79" w:rsidP="00434D79">
      <w:pPr>
        <w:widowControl/>
        <w:snapToGrid w:val="0"/>
        <w:spacing w:line="560" w:lineRule="exact"/>
        <w:ind w:firstLineChars="200" w:firstLine="640"/>
        <w:rPr>
          <w:rFonts w:eastAsia="仿宋_GB2312"/>
          <w:color w:val="000000"/>
          <w:sz w:val="32"/>
          <w:szCs w:val="32"/>
        </w:rPr>
      </w:pPr>
      <w:r w:rsidRPr="00434D79">
        <w:rPr>
          <w:rFonts w:eastAsia="仿宋_GB2312"/>
          <w:color w:val="000000"/>
          <w:sz w:val="32"/>
          <w:szCs w:val="32"/>
        </w:rPr>
        <w:t>九、</w:t>
      </w:r>
      <w:bookmarkStart w:id="1" w:name="OLE_LINK14"/>
      <w:r w:rsidRPr="00434D79">
        <w:rPr>
          <w:rFonts w:eastAsia="仿宋_GB2312"/>
          <w:color w:val="000000"/>
          <w:sz w:val="32"/>
          <w:szCs w:val="32"/>
        </w:rPr>
        <w:t>请黄山高新技术产业开发区管委会加强项目属地生态环境管理，市生态环境保护综合行政执法支队负责该项目环保</w:t>
      </w:r>
      <w:r w:rsidRPr="00434D79">
        <w:rPr>
          <w:rFonts w:eastAsia="仿宋_GB2312"/>
          <w:color w:val="000000"/>
          <w:sz w:val="32"/>
          <w:szCs w:val="32"/>
        </w:rPr>
        <w:t>“</w:t>
      </w:r>
      <w:r w:rsidRPr="00434D79">
        <w:rPr>
          <w:rFonts w:eastAsia="仿宋_GB2312"/>
          <w:color w:val="000000"/>
          <w:sz w:val="32"/>
          <w:szCs w:val="32"/>
        </w:rPr>
        <w:t>三同时</w:t>
      </w:r>
      <w:r w:rsidRPr="00434D79">
        <w:rPr>
          <w:rFonts w:eastAsia="仿宋_GB2312"/>
          <w:color w:val="000000"/>
          <w:sz w:val="32"/>
          <w:szCs w:val="32"/>
        </w:rPr>
        <w:t>”</w:t>
      </w:r>
      <w:r w:rsidRPr="00434D79">
        <w:rPr>
          <w:rFonts w:eastAsia="仿宋_GB2312"/>
          <w:color w:val="000000"/>
          <w:sz w:val="32"/>
          <w:szCs w:val="32"/>
        </w:rPr>
        <w:t>日常监督管理工作。</w:t>
      </w:r>
    </w:p>
    <w:bookmarkEnd w:id="1"/>
    <w:p w:rsidR="00CD6566" w:rsidRPr="00434D79" w:rsidRDefault="00CD6566" w:rsidP="00CD6566">
      <w:pPr>
        <w:pStyle w:val="a0"/>
        <w:ind w:firstLine="480"/>
      </w:pPr>
    </w:p>
    <w:p w:rsidR="00CD6566" w:rsidRPr="00434D79" w:rsidRDefault="00CD6566" w:rsidP="00CD6566">
      <w:pPr>
        <w:pStyle w:val="a4"/>
        <w:spacing w:before="312"/>
      </w:pPr>
    </w:p>
    <w:p w:rsidR="00CD6566" w:rsidRPr="00434D79" w:rsidRDefault="00CD6566" w:rsidP="00CD6566">
      <w:pPr>
        <w:pStyle w:val="a4"/>
        <w:spacing w:before="312"/>
      </w:pPr>
    </w:p>
    <w:p w:rsidR="00CD6566" w:rsidRPr="00CD6566" w:rsidRDefault="00CD6566" w:rsidP="00CD6566">
      <w:pPr>
        <w:widowControl/>
        <w:wordWrap w:val="0"/>
        <w:adjustRightInd w:val="0"/>
        <w:snapToGrid w:val="0"/>
        <w:spacing w:line="580" w:lineRule="exact"/>
        <w:ind w:firstLineChars="200" w:firstLine="640"/>
        <w:jc w:val="right"/>
        <w:rPr>
          <w:rFonts w:eastAsia="仿宋_GB2312"/>
          <w:color w:val="000000"/>
          <w:sz w:val="32"/>
          <w:szCs w:val="32"/>
        </w:rPr>
      </w:pPr>
      <w:r w:rsidRPr="00CD6566">
        <w:rPr>
          <w:rFonts w:eastAsia="仿宋_GB2312"/>
          <w:color w:val="000000"/>
          <w:sz w:val="32"/>
          <w:szCs w:val="32"/>
        </w:rPr>
        <w:t>2025</w:t>
      </w:r>
      <w:r w:rsidRPr="00CD6566">
        <w:rPr>
          <w:rFonts w:eastAsia="仿宋_GB2312"/>
          <w:color w:val="000000"/>
          <w:sz w:val="32"/>
          <w:szCs w:val="32"/>
        </w:rPr>
        <w:t>年</w:t>
      </w:r>
      <w:r w:rsidRPr="00CD6566">
        <w:rPr>
          <w:rFonts w:eastAsia="仿宋_GB2312"/>
          <w:color w:val="000000"/>
          <w:sz w:val="32"/>
          <w:szCs w:val="32"/>
        </w:rPr>
        <w:t>5</w:t>
      </w:r>
      <w:r w:rsidRPr="00CD6566">
        <w:rPr>
          <w:rFonts w:eastAsia="仿宋_GB2312"/>
          <w:color w:val="000000"/>
          <w:sz w:val="32"/>
          <w:szCs w:val="32"/>
        </w:rPr>
        <w:t>月</w:t>
      </w:r>
      <w:r w:rsidRPr="00434D79">
        <w:rPr>
          <w:rFonts w:eastAsia="仿宋_GB2312"/>
          <w:color w:val="000000"/>
          <w:sz w:val="32"/>
          <w:szCs w:val="32"/>
        </w:rPr>
        <w:t>23</w:t>
      </w:r>
      <w:r w:rsidRPr="00CD6566">
        <w:rPr>
          <w:rFonts w:eastAsia="仿宋_GB2312"/>
          <w:color w:val="000000"/>
          <w:sz w:val="32"/>
          <w:szCs w:val="32"/>
        </w:rPr>
        <w:t>日</w:t>
      </w:r>
      <w:r w:rsidRPr="00CD6566">
        <w:rPr>
          <w:rFonts w:eastAsia="仿宋_GB2312"/>
          <w:color w:val="000000"/>
          <w:sz w:val="32"/>
          <w:szCs w:val="32"/>
        </w:rPr>
        <w:t xml:space="preserve"> </w:t>
      </w:r>
      <w:r w:rsidRPr="00434D79">
        <w:rPr>
          <w:rFonts w:eastAsia="仿宋_GB2312"/>
          <w:color w:val="000000"/>
          <w:sz w:val="32"/>
          <w:szCs w:val="32"/>
        </w:rPr>
        <w:t xml:space="preserve">  </w:t>
      </w: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ind w:firstLineChars="200" w:firstLine="640"/>
        <w:rPr>
          <w:rFonts w:eastAsia="仿宋_GB2312"/>
          <w:color w:val="000000"/>
          <w:kern w:val="0"/>
          <w:sz w:val="32"/>
          <w:szCs w:val="32"/>
        </w:rPr>
      </w:pPr>
    </w:p>
    <w:p w:rsidR="00CD6566" w:rsidRPr="00CD6566" w:rsidRDefault="00CD6566" w:rsidP="00CD6566">
      <w:pPr>
        <w:spacing w:beforeLines="100" w:before="312"/>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2750EF" w:rsidRPr="00434D79" w:rsidRDefault="002750EF" w:rsidP="002750EF">
      <w:pPr>
        <w:spacing w:line="560" w:lineRule="exact"/>
        <w:ind w:left="320" w:hangingChars="100" w:hanging="320"/>
        <w:jc w:val="center"/>
        <w:rPr>
          <w:rFonts w:eastAsia="仿宋_GB2312"/>
          <w:color w:val="000000"/>
          <w:sz w:val="32"/>
          <w:szCs w:val="32"/>
          <w:highlight w:val="yellow"/>
        </w:rPr>
      </w:pPr>
    </w:p>
    <w:p w:rsidR="002750EF" w:rsidRPr="00434D79" w:rsidRDefault="002750EF" w:rsidP="002750EF">
      <w:pPr>
        <w:ind w:firstLineChars="200" w:firstLine="480"/>
        <w:rPr>
          <w:color w:val="000000"/>
          <w:kern w:val="0"/>
          <w:sz w:val="24"/>
          <w:szCs w:val="20"/>
        </w:rPr>
      </w:pPr>
    </w:p>
    <w:p w:rsidR="002750EF" w:rsidRPr="00434D79" w:rsidRDefault="002750EF" w:rsidP="002750EF">
      <w:pPr>
        <w:spacing w:beforeLines="100" w:before="312"/>
        <w:jc w:val="center"/>
        <w:rPr>
          <w:rFonts w:eastAsia="楷体"/>
          <w:color w:val="000000"/>
          <w:sz w:val="24"/>
        </w:rPr>
      </w:pPr>
    </w:p>
    <w:p w:rsidR="002750EF" w:rsidRPr="00434D79" w:rsidRDefault="002750EF" w:rsidP="002750EF">
      <w:pPr>
        <w:spacing w:beforeLines="100" w:before="312"/>
        <w:jc w:val="center"/>
        <w:rPr>
          <w:rFonts w:eastAsia="楷体"/>
          <w:color w:val="000000"/>
          <w:sz w:val="24"/>
        </w:rPr>
      </w:pPr>
    </w:p>
    <w:p w:rsidR="002750EF" w:rsidRPr="00434D79" w:rsidRDefault="002750EF" w:rsidP="002750EF">
      <w:pPr>
        <w:spacing w:beforeLines="100" w:before="312"/>
        <w:jc w:val="center"/>
        <w:rPr>
          <w:rFonts w:eastAsia="楷体"/>
          <w:color w:val="000000"/>
          <w:sz w:val="24"/>
        </w:rPr>
      </w:pPr>
    </w:p>
    <w:p w:rsidR="002750EF" w:rsidRPr="00434D79" w:rsidRDefault="002750EF" w:rsidP="002750EF">
      <w:pPr>
        <w:spacing w:beforeLines="100" w:before="312"/>
        <w:jc w:val="center"/>
        <w:rPr>
          <w:rFonts w:eastAsia="楷体"/>
          <w:color w:val="000000"/>
          <w:sz w:val="24"/>
        </w:rPr>
      </w:pPr>
    </w:p>
    <w:p w:rsidR="002750EF" w:rsidRPr="00434D79" w:rsidRDefault="002750EF" w:rsidP="002750EF">
      <w:pPr>
        <w:spacing w:beforeLines="100" w:before="312"/>
        <w:jc w:val="center"/>
        <w:rPr>
          <w:rFonts w:eastAsia="楷体"/>
          <w:color w:val="000000"/>
          <w:sz w:val="24"/>
        </w:rPr>
      </w:pPr>
    </w:p>
    <w:p w:rsidR="002750EF" w:rsidRPr="00434D79" w:rsidRDefault="002750EF" w:rsidP="002750EF">
      <w:pPr>
        <w:spacing w:beforeLines="100" w:before="312"/>
        <w:jc w:val="center"/>
        <w:rPr>
          <w:rFonts w:eastAsia="楷体"/>
          <w:color w:val="000000"/>
          <w:sz w:val="24"/>
        </w:rPr>
      </w:pPr>
    </w:p>
    <w:p w:rsidR="002750EF" w:rsidRPr="00434D79" w:rsidRDefault="002750EF" w:rsidP="002750EF">
      <w:pPr>
        <w:spacing w:line="560" w:lineRule="exact"/>
        <w:jc w:val="center"/>
        <w:rPr>
          <w:rFonts w:eastAsia="仿宋_GB2312"/>
          <w:color w:val="000000"/>
          <w:sz w:val="32"/>
          <w:szCs w:val="32"/>
        </w:rPr>
      </w:pPr>
    </w:p>
    <w:p w:rsidR="00441E61" w:rsidRPr="00434D79"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34D79"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34D79"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34D79"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34D79"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34D79"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434D79" w:rsidRDefault="00441E61" w:rsidP="00441E61">
      <w:pPr>
        <w:widowControl/>
        <w:adjustRightInd w:val="0"/>
        <w:snapToGrid w:val="0"/>
        <w:spacing w:line="560" w:lineRule="exact"/>
        <w:ind w:firstLineChars="200" w:firstLine="640"/>
        <w:rPr>
          <w:rFonts w:eastAsia="仿宋_GB2312"/>
          <w:color w:val="000000"/>
          <w:sz w:val="32"/>
          <w:szCs w:val="32"/>
        </w:rPr>
      </w:pPr>
    </w:p>
    <w:p w:rsidR="00CD6566" w:rsidRPr="00434D79" w:rsidRDefault="00CD6566" w:rsidP="00CD6566">
      <w:pPr>
        <w:pStyle w:val="a4"/>
        <w:spacing w:before="312"/>
      </w:pPr>
    </w:p>
    <w:p w:rsidR="002750EF" w:rsidRPr="00434D79" w:rsidRDefault="002750EF" w:rsidP="002750EF">
      <w:pPr>
        <w:pStyle w:val="a0"/>
        <w:ind w:firstLine="480"/>
      </w:pPr>
    </w:p>
    <w:p w:rsidR="00DD6381" w:rsidRPr="00434D79" w:rsidRDefault="00DD6381" w:rsidP="00DD6381">
      <w:pPr>
        <w:pStyle w:val="a0"/>
        <w:ind w:firstLine="480"/>
      </w:pPr>
    </w:p>
    <w:tbl>
      <w:tblPr>
        <w:tblpPr w:leftFromText="180" w:rightFromText="180" w:vertAnchor="text" w:horzAnchor="margin" w:tblpY="317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9"/>
      </w:tblGrid>
      <w:tr w:rsidR="00434D79" w:rsidRPr="00434D79" w:rsidTr="00434D79">
        <w:trPr>
          <w:trHeight w:val="122"/>
        </w:trPr>
        <w:tc>
          <w:tcPr>
            <w:tcW w:w="8969" w:type="dxa"/>
            <w:tcBorders>
              <w:top w:val="single" w:sz="4" w:space="0" w:color="auto"/>
              <w:left w:val="nil"/>
              <w:bottom w:val="single" w:sz="4" w:space="0" w:color="auto"/>
              <w:right w:val="nil"/>
            </w:tcBorders>
            <w:vAlign w:val="center"/>
          </w:tcPr>
          <w:p w:rsidR="00434D79" w:rsidRPr="00434D79" w:rsidRDefault="00434D79" w:rsidP="00434D79">
            <w:pPr>
              <w:widowControl/>
              <w:adjustRightInd w:val="0"/>
              <w:snapToGrid w:val="0"/>
              <w:spacing w:line="400" w:lineRule="exact"/>
              <w:ind w:leftChars="267" w:left="1401" w:hangingChars="300" w:hanging="840"/>
              <w:rPr>
                <w:rFonts w:eastAsia="仿宋_GB2312"/>
                <w:color w:val="000000"/>
                <w:sz w:val="28"/>
                <w:szCs w:val="28"/>
              </w:rPr>
            </w:pPr>
            <w:bookmarkStart w:id="2" w:name="_GoBack"/>
            <w:bookmarkEnd w:id="2"/>
            <w:r w:rsidRPr="00434D79">
              <w:rPr>
                <w:rFonts w:eastAsia="仿宋_GB2312"/>
                <w:color w:val="000000"/>
                <w:sz w:val="28"/>
                <w:szCs w:val="28"/>
              </w:rPr>
              <w:t>抄送</w:t>
            </w:r>
            <w:r w:rsidRPr="00434D79">
              <w:rPr>
                <w:rFonts w:eastAsia="仿宋_GB2312"/>
                <w:color w:val="000000"/>
                <w:sz w:val="28"/>
                <w:szCs w:val="28"/>
                <w:lang w:val="zh-CN"/>
              </w:rPr>
              <w:t>：</w:t>
            </w:r>
            <w:r w:rsidRPr="00434D79">
              <w:rPr>
                <w:rFonts w:eastAsia="仿宋_GB2312"/>
                <w:color w:val="000000"/>
                <w:sz w:val="28"/>
                <w:szCs w:val="28"/>
              </w:rPr>
              <w:t>黄山高新技术产业开发区管委会，市生态环境保护综合行政执法支队，安徽众帆环境工程有限公司。</w:t>
            </w:r>
          </w:p>
        </w:tc>
      </w:tr>
      <w:tr w:rsidR="00434D79" w:rsidRPr="00434D79" w:rsidTr="00434D79">
        <w:trPr>
          <w:trHeight w:val="558"/>
        </w:trPr>
        <w:tc>
          <w:tcPr>
            <w:tcW w:w="8969" w:type="dxa"/>
            <w:tcBorders>
              <w:top w:val="single" w:sz="4" w:space="0" w:color="auto"/>
              <w:left w:val="nil"/>
              <w:bottom w:val="single" w:sz="4" w:space="0" w:color="auto"/>
              <w:right w:val="nil"/>
            </w:tcBorders>
            <w:vAlign w:val="center"/>
          </w:tcPr>
          <w:p w:rsidR="00434D79" w:rsidRPr="00434D79" w:rsidRDefault="00434D79" w:rsidP="00434D79">
            <w:pPr>
              <w:adjustRightInd w:val="0"/>
              <w:snapToGrid w:val="0"/>
              <w:spacing w:line="400" w:lineRule="exact"/>
              <w:ind w:firstLineChars="200" w:firstLine="560"/>
              <w:rPr>
                <w:rFonts w:eastAsia="仿宋_GB2312"/>
                <w:color w:val="000000"/>
                <w:sz w:val="28"/>
                <w:szCs w:val="28"/>
              </w:rPr>
            </w:pPr>
            <w:r w:rsidRPr="00434D79">
              <w:rPr>
                <w:rFonts w:eastAsia="仿宋_GB2312"/>
                <w:color w:val="000000"/>
                <w:sz w:val="28"/>
                <w:szCs w:val="28"/>
              </w:rPr>
              <w:t>黄山市生态环境局办公室</w:t>
            </w:r>
            <w:r w:rsidRPr="00434D79">
              <w:rPr>
                <w:rFonts w:eastAsia="仿宋_GB2312"/>
                <w:color w:val="000000"/>
                <w:sz w:val="28"/>
                <w:szCs w:val="28"/>
              </w:rPr>
              <w:t xml:space="preserve">              2025</w:t>
            </w:r>
            <w:r w:rsidRPr="00434D79">
              <w:rPr>
                <w:rFonts w:eastAsia="仿宋_GB2312"/>
                <w:color w:val="000000"/>
                <w:sz w:val="28"/>
                <w:szCs w:val="28"/>
              </w:rPr>
              <w:t>年</w:t>
            </w:r>
            <w:r w:rsidRPr="00434D79">
              <w:rPr>
                <w:rFonts w:eastAsia="仿宋_GB2312"/>
                <w:color w:val="000000"/>
                <w:sz w:val="28"/>
                <w:szCs w:val="28"/>
              </w:rPr>
              <w:t>5</w:t>
            </w:r>
            <w:r w:rsidRPr="00434D79">
              <w:rPr>
                <w:rFonts w:eastAsia="仿宋_GB2312"/>
                <w:color w:val="000000"/>
                <w:sz w:val="28"/>
                <w:szCs w:val="28"/>
              </w:rPr>
              <w:t>月</w:t>
            </w:r>
            <w:r w:rsidRPr="00434D79">
              <w:rPr>
                <w:rFonts w:eastAsia="仿宋_GB2312"/>
                <w:color w:val="000000"/>
                <w:sz w:val="28"/>
                <w:szCs w:val="28"/>
              </w:rPr>
              <w:t>23</w:t>
            </w:r>
            <w:r w:rsidRPr="00434D79">
              <w:rPr>
                <w:rFonts w:eastAsia="仿宋_GB2312"/>
                <w:color w:val="000000"/>
                <w:sz w:val="28"/>
                <w:szCs w:val="28"/>
              </w:rPr>
              <w:t>日印发</w:t>
            </w:r>
          </w:p>
        </w:tc>
      </w:tr>
    </w:tbl>
    <w:p w:rsidR="00DD6381" w:rsidRPr="00434D79" w:rsidRDefault="00DD6381" w:rsidP="00DD6381">
      <w:pPr>
        <w:pStyle w:val="a4"/>
        <w:spacing w:before="312"/>
      </w:pPr>
    </w:p>
    <w:sectPr w:rsidR="00DD6381" w:rsidRPr="00434D79">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9F" w:rsidRDefault="00BC459F">
      <w:r>
        <w:separator/>
      </w:r>
    </w:p>
  </w:endnote>
  <w:endnote w:type="continuationSeparator" w:id="0">
    <w:p w:rsidR="00BC459F" w:rsidRDefault="00BC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900002AF" w:usb1="01D77CFB"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434D79" w:rsidRPr="00434D79">
      <w:rPr>
        <w:rFonts w:ascii="宋体" w:hAnsi="宋体"/>
        <w:noProof/>
        <w:sz w:val="28"/>
        <w:szCs w:val="28"/>
        <w:lang w:val="zh-CN"/>
      </w:rPr>
      <w:t>-</w:t>
    </w:r>
    <w:r w:rsidR="00434D79">
      <w:rPr>
        <w:rFonts w:ascii="宋体" w:hAnsi="宋体"/>
        <w:noProof/>
        <w:sz w:val="28"/>
        <w:szCs w:val="28"/>
      </w:rPr>
      <w:t xml:space="preserve"> 6 -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434D79" w:rsidRPr="00434D79">
      <w:rPr>
        <w:rFonts w:ascii="宋体" w:hAnsi="宋体"/>
        <w:noProof/>
        <w:sz w:val="28"/>
        <w:szCs w:val="28"/>
        <w:lang w:val="zh-CN"/>
      </w:rPr>
      <w:t>-</w:t>
    </w:r>
    <w:r w:rsidR="00434D79">
      <w:rPr>
        <w:rFonts w:ascii="宋体" w:hAnsi="宋体"/>
        <w:noProof/>
        <w:sz w:val="28"/>
        <w:szCs w:val="28"/>
      </w:rPr>
      <w:t xml:space="preserve"> 5 -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9F" w:rsidRDefault="00BC459F">
      <w:r>
        <w:separator/>
      </w:r>
    </w:p>
  </w:footnote>
  <w:footnote w:type="continuationSeparator" w:id="0">
    <w:p w:rsidR="00BC459F" w:rsidRDefault="00BC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56A"/>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352</Words>
  <Characters>2011</Characters>
  <Application>Microsoft Office Word</Application>
  <DocSecurity>0</DocSecurity>
  <Lines>16</Lines>
  <Paragraphs>4</Paragraphs>
  <ScaleCrop>false</ScaleCrop>
  <Company>MC SYSTEM</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2025-05-23T07:22:00Z</cp:lastPrinted>
  <dcterms:created xsi:type="dcterms:W3CDTF">2025-05-23T07:23:00Z</dcterms:created>
  <dcterms:modified xsi:type="dcterms:W3CDTF">2025-05-23T07:24:00Z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