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auto"/>
          <w:sz w:val="44"/>
          <w:szCs w:val="44"/>
        </w:rPr>
      </w:pPr>
      <w:r>
        <w:rPr>
          <w:rFonts w:hint="default" w:ascii="Times New Roman" w:hAnsi="Times New Roman" w:eastAsia="仿宋_GB2312" w:cs="Times New Roman"/>
          <w:color w:val="auto"/>
          <w:sz w:val="32"/>
          <w:szCs w:val="32"/>
        </w:rPr>
        <w:t>黄环建函〔202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号</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b w:val="0"/>
          <w:bCs w:val="0"/>
          <w:color w:val="auto"/>
          <w:spacing w:val="-12"/>
          <w:sz w:val="44"/>
          <w:szCs w:val="44"/>
          <w:lang w:eastAsia="zh-CN"/>
        </w:rPr>
      </w:pPr>
      <w:r>
        <w:rPr>
          <w:rFonts w:hint="eastAsia" w:ascii="Times New Roman" w:hAnsi="Times New Roman" w:eastAsia="方正小标宋简体" w:cs="Times New Roman"/>
          <w:b w:val="0"/>
          <w:bCs w:val="0"/>
          <w:color w:val="auto"/>
          <w:spacing w:val="-12"/>
          <w:sz w:val="44"/>
          <w:szCs w:val="44"/>
          <w:lang w:eastAsia="zh-CN"/>
        </w:rPr>
        <w:t>关于黄山市九龙运营管理有限公司年产800万套洗衣机精密注塑件项目环境影响</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b w:val="0"/>
          <w:bCs w:val="0"/>
          <w:color w:val="auto"/>
          <w:spacing w:val="-12"/>
          <w:sz w:val="44"/>
          <w:szCs w:val="44"/>
          <w:lang w:eastAsia="zh-CN"/>
        </w:rPr>
      </w:pPr>
      <w:r>
        <w:rPr>
          <w:rFonts w:hint="eastAsia" w:ascii="Times New Roman" w:hAnsi="Times New Roman" w:eastAsia="方正小标宋简体" w:cs="Times New Roman"/>
          <w:b w:val="0"/>
          <w:bCs w:val="0"/>
          <w:color w:val="auto"/>
          <w:spacing w:val="-12"/>
          <w:sz w:val="44"/>
          <w:szCs w:val="44"/>
          <w:lang w:eastAsia="zh-CN"/>
        </w:rPr>
        <w:t>报告</w:t>
      </w:r>
      <w:r>
        <w:rPr>
          <w:rFonts w:hint="eastAsia" w:ascii="Times New Roman" w:hAnsi="Times New Roman" w:eastAsia="方正小标宋简体" w:cs="Times New Roman"/>
          <w:b w:val="0"/>
          <w:bCs w:val="0"/>
          <w:color w:val="auto"/>
          <w:spacing w:val="-12"/>
          <w:sz w:val="44"/>
          <w:szCs w:val="44"/>
          <w:lang w:val="en-US" w:eastAsia="zh-CN"/>
        </w:rPr>
        <w:t>表</w:t>
      </w:r>
      <w:r>
        <w:rPr>
          <w:rFonts w:hint="eastAsia" w:ascii="Times New Roman" w:hAnsi="Times New Roman" w:eastAsia="方正小标宋简体" w:cs="Times New Roman"/>
          <w:b w:val="0"/>
          <w:bCs w:val="0"/>
          <w:color w:val="auto"/>
          <w:spacing w:val="-12"/>
          <w:sz w:val="44"/>
          <w:szCs w:val="44"/>
          <w:lang w:eastAsia="zh-CN"/>
        </w:rPr>
        <w:t>的批复</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color w:val="auto"/>
          <w:kern w:val="0"/>
          <w:sz w:val="24"/>
          <w:szCs w:val="20"/>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黄山市九龙运营管理有限公司：</w:t>
      </w:r>
      <w:r>
        <w:rPr>
          <w:rFonts w:hint="eastAsia" w:ascii="仿宋_GB2312" w:hAnsi="仿宋_GB2312" w:eastAsia="仿宋_GB2312" w:cs="仿宋_GB2312"/>
          <w:color w:val="auto"/>
          <w:sz w:val="32"/>
          <w:szCs w:val="32"/>
          <w:lang w:val="zh-CN"/>
        </w:rPr>
        <w:tab/>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eastAsia="仿宋_GB2312"/>
          <w:color w:val="auto"/>
          <w:sz w:val="32"/>
          <w:szCs w:val="32"/>
          <w:lang w:val="zh-CN"/>
        </w:rPr>
      </w:pPr>
      <w:r>
        <w:rPr>
          <w:rFonts w:hint="eastAsia" w:eastAsia="仿宋_GB2312"/>
          <w:color w:val="auto"/>
          <w:sz w:val="32"/>
          <w:szCs w:val="32"/>
          <w:lang w:val="zh-CN"/>
        </w:rPr>
        <w:t>你公司报</w:t>
      </w:r>
      <w:r>
        <w:rPr>
          <w:rFonts w:hint="eastAsia" w:ascii="Times New Roman" w:hAnsi="Times New Roman" w:eastAsia="仿宋_GB2312" w:cs="Times New Roman"/>
          <w:color w:val="auto"/>
          <w:sz w:val="32"/>
          <w:szCs w:val="32"/>
          <w:lang w:val="zh-CN"/>
        </w:rPr>
        <w:t>来的年产800万套洗衣机精密注塑件项目《行政许可申请书》和</w:t>
      </w:r>
      <w:r>
        <w:rPr>
          <w:rFonts w:hint="eastAsia" w:ascii="Times New Roman" w:hAnsi="Times New Roman" w:eastAsia="仿宋_GB2312" w:cs="Times New Roman"/>
          <w:color w:val="auto"/>
          <w:sz w:val="32"/>
          <w:szCs w:val="32"/>
          <w:lang w:val="en-US" w:eastAsia="zh-CN"/>
        </w:rPr>
        <w:t>安徽中盈工程技术咨询有限公司</w:t>
      </w:r>
      <w:r>
        <w:rPr>
          <w:rFonts w:hint="eastAsia" w:ascii="Times New Roman" w:hAnsi="Times New Roman" w:eastAsia="仿宋_GB2312" w:cs="Times New Roman"/>
          <w:color w:val="auto"/>
          <w:sz w:val="32"/>
          <w:szCs w:val="32"/>
          <w:lang w:val="zh-CN" w:eastAsia="zh-CN"/>
        </w:rPr>
        <w:t>编制的《黄山市九龙运营管理有限公司</w:t>
      </w:r>
      <w:r>
        <w:rPr>
          <w:rFonts w:hint="eastAsia" w:ascii="Times New Roman" w:hAnsi="Times New Roman" w:eastAsia="仿宋_GB2312" w:cs="Times New Roman"/>
          <w:color w:val="auto"/>
          <w:sz w:val="32"/>
          <w:szCs w:val="32"/>
          <w:lang w:val="en-US" w:eastAsia="zh-CN"/>
        </w:rPr>
        <w:t>年产800万套洗衣机精密注塑件项目环境影响报告表</w:t>
      </w:r>
      <w:r>
        <w:rPr>
          <w:rFonts w:hint="eastAsia" w:ascii="Times New Roman" w:hAnsi="Times New Roman" w:eastAsia="仿宋_GB2312" w:cs="Times New Roman"/>
          <w:color w:val="auto"/>
          <w:sz w:val="32"/>
          <w:szCs w:val="32"/>
          <w:lang w:val="zh-CN" w:eastAsia="zh-CN"/>
        </w:rPr>
        <w:t>》</w:t>
      </w:r>
      <w:r>
        <w:rPr>
          <w:rFonts w:hint="eastAsia" w:eastAsia="仿宋_GB2312"/>
          <w:color w:val="auto"/>
          <w:sz w:val="32"/>
          <w:szCs w:val="32"/>
          <w:lang w:val="zh-CN"/>
        </w:rPr>
        <w:t>（以下简称《报告</w:t>
      </w:r>
      <w:r>
        <w:rPr>
          <w:rFonts w:hint="eastAsia" w:eastAsia="仿宋_GB2312"/>
          <w:color w:val="auto"/>
          <w:sz w:val="32"/>
          <w:szCs w:val="32"/>
          <w:lang w:val="en-US" w:eastAsia="zh-CN"/>
        </w:rPr>
        <w:t>表</w:t>
      </w:r>
      <w:r>
        <w:rPr>
          <w:rFonts w:hint="eastAsia" w:eastAsia="仿宋_GB2312"/>
          <w:color w:val="auto"/>
          <w:sz w:val="32"/>
          <w:szCs w:val="32"/>
          <w:lang w:val="zh-CN"/>
        </w:rPr>
        <w:t>》）已收悉</w:t>
      </w:r>
      <w:r>
        <w:rPr>
          <w:rFonts w:hint="eastAsia" w:ascii="Times New Roman" w:hAnsi="Times New Roman" w:eastAsia="仿宋_GB2312" w:cs="Times New Roman"/>
          <w:color w:val="auto"/>
          <w:sz w:val="32"/>
          <w:szCs w:val="32"/>
          <w:lang w:val="zh-CN" w:eastAsia="zh-CN"/>
        </w:rPr>
        <w:t>。经组织专家技术函审，并在</w:t>
      </w:r>
      <w:r>
        <w:rPr>
          <w:rFonts w:hint="eastAsia" w:eastAsia="仿宋_GB2312"/>
          <w:color w:val="auto"/>
          <w:sz w:val="32"/>
          <w:szCs w:val="32"/>
          <w:lang w:val="zh-CN"/>
        </w:rPr>
        <w:t>黄山市生态环境局网站公示，公众无异议。经研究，现对《报告</w:t>
      </w:r>
      <w:r>
        <w:rPr>
          <w:rFonts w:hint="eastAsia" w:eastAsia="仿宋_GB2312"/>
          <w:color w:val="auto"/>
          <w:sz w:val="32"/>
          <w:szCs w:val="32"/>
          <w:lang w:val="en-US" w:eastAsia="zh-CN"/>
        </w:rPr>
        <w:t>表</w:t>
      </w:r>
      <w:r>
        <w:rPr>
          <w:rFonts w:hint="eastAsia" w:eastAsia="仿宋_GB2312"/>
          <w:color w:val="auto"/>
          <w:sz w:val="32"/>
          <w:szCs w:val="32"/>
          <w:lang w:val="zh-CN"/>
        </w:rPr>
        <w:t>》批复如下：</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t>一、项目</w:t>
      </w:r>
      <w:r>
        <w:rPr>
          <w:rFonts w:hint="eastAsia" w:ascii="Times New Roman" w:hAnsi="Times New Roman" w:eastAsia="仿宋_GB2312" w:cs="Times New Roman"/>
          <w:color w:val="auto"/>
          <w:sz w:val="32"/>
          <w:szCs w:val="32"/>
          <w:lang w:val="en-US" w:eastAsia="zh-CN"/>
        </w:rPr>
        <w:t>拟在</w:t>
      </w:r>
      <w:r>
        <w:rPr>
          <w:rFonts w:hint="eastAsia" w:ascii="Times New Roman" w:hAnsi="Times New Roman" w:eastAsia="仿宋_GB2312" w:cs="Times New Roman"/>
          <w:color w:val="auto"/>
          <w:sz w:val="32"/>
          <w:szCs w:val="32"/>
          <w:lang w:val="zh-CN" w:eastAsia="zh-CN"/>
        </w:rPr>
        <w:t>黄山市屯溪区奕棋镇九龙工业园松涛路18号（东经118度</w:t>
      </w:r>
      <w:r>
        <w:rPr>
          <w:rFonts w:hint="eastAsia" w:ascii="Times New Roman" w:hAnsi="Times New Roman" w:eastAsia="仿宋_GB2312" w:cs="Times New Roman"/>
          <w:color w:val="auto"/>
          <w:sz w:val="32"/>
          <w:szCs w:val="32"/>
          <w:lang w:val="en-US" w:eastAsia="zh-CN"/>
        </w:rPr>
        <w:t>14</w:t>
      </w:r>
      <w:r>
        <w:rPr>
          <w:rFonts w:hint="eastAsia" w:ascii="Times New Roman" w:hAnsi="Times New Roman" w:eastAsia="仿宋_GB2312" w:cs="Times New Roman"/>
          <w:color w:val="auto"/>
          <w:sz w:val="32"/>
          <w:szCs w:val="32"/>
          <w:lang w:val="zh-CN" w:eastAsia="zh-CN"/>
        </w:rPr>
        <w:t>分</w:t>
      </w:r>
      <w:r>
        <w:rPr>
          <w:rFonts w:hint="eastAsia" w:ascii="Times New Roman" w:hAnsi="Times New Roman" w:eastAsia="仿宋_GB2312" w:cs="Times New Roman"/>
          <w:color w:val="auto"/>
          <w:sz w:val="32"/>
          <w:szCs w:val="32"/>
          <w:lang w:val="en-US" w:eastAsia="zh-CN"/>
        </w:rPr>
        <w:t>29.622</w:t>
      </w:r>
      <w:r>
        <w:rPr>
          <w:rFonts w:hint="eastAsia" w:ascii="Times New Roman" w:hAnsi="Times New Roman" w:eastAsia="仿宋_GB2312" w:cs="Times New Roman"/>
          <w:color w:val="auto"/>
          <w:sz w:val="32"/>
          <w:szCs w:val="32"/>
          <w:lang w:val="zh-CN" w:eastAsia="zh-CN"/>
        </w:rPr>
        <w:t>秒，北纬29度</w:t>
      </w:r>
      <w:r>
        <w:rPr>
          <w:rFonts w:hint="eastAsia" w:ascii="Times New Roman" w:hAnsi="Times New Roman" w:eastAsia="仿宋_GB2312" w:cs="Times New Roman"/>
          <w:color w:val="auto"/>
          <w:sz w:val="32"/>
          <w:szCs w:val="32"/>
          <w:lang w:val="en-US" w:eastAsia="zh-CN"/>
        </w:rPr>
        <w:t>43</w:t>
      </w:r>
      <w:r>
        <w:rPr>
          <w:rFonts w:hint="eastAsia" w:ascii="Times New Roman" w:hAnsi="Times New Roman" w:eastAsia="仿宋_GB2312" w:cs="Times New Roman"/>
          <w:color w:val="auto"/>
          <w:sz w:val="32"/>
          <w:szCs w:val="32"/>
          <w:lang w:val="zh-CN" w:eastAsia="zh-CN"/>
        </w:rPr>
        <w:t>分</w:t>
      </w:r>
      <w:r>
        <w:rPr>
          <w:rFonts w:hint="eastAsia" w:ascii="Times New Roman" w:hAnsi="Times New Roman" w:eastAsia="仿宋_GB2312" w:cs="Times New Roman"/>
          <w:color w:val="auto"/>
          <w:sz w:val="32"/>
          <w:szCs w:val="32"/>
          <w:lang w:val="en-US" w:eastAsia="zh-CN"/>
        </w:rPr>
        <w:t>29.609</w:t>
      </w:r>
      <w:r>
        <w:rPr>
          <w:rFonts w:hint="eastAsia" w:ascii="Times New Roman" w:hAnsi="Times New Roman" w:eastAsia="仿宋_GB2312" w:cs="Times New Roman"/>
          <w:color w:val="auto"/>
          <w:sz w:val="32"/>
          <w:szCs w:val="32"/>
          <w:lang w:val="zh-CN" w:eastAsia="zh-CN"/>
        </w:rPr>
        <w:t>秒）建设，用地面积</w:t>
      </w:r>
      <w:r>
        <w:rPr>
          <w:rFonts w:hint="eastAsia" w:ascii="Times New Roman" w:hAnsi="Times New Roman" w:eastAsia="仿宋_GB2312" w:cs="Times New Roman"/>
          <w:color w:val="auto"/>
          <w:sz w:val="32"/>
          <w:szCs w:val="32"/>
          <w:lang w:val="en-US" w:eastAsia="zh-CN"/>
        </w:rPr>
        <w:t>2521平方米</w:t>
      </w:r>
      <w:r>
        <w:rPr>
          <w:rFonts w:hint="eastAsia"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en-US" w:eastAsia="zh-CN"/>
        </w:rPr>
        <w:t>总投资10790万元，其中环保投资50万元。项目利用九龙低碳经济园区现有厂房，购置注塑机、干燥机等设备，配套建设相应的环保设施、环境风险防范措施以及公用、辅助、储运等设施，项目建成后年产800万套洗衣机精密注塑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二、从生态环境保护角度，我局同意你公司按《报告</w:t>
      </w:r>
      <w:r>
        <w:rPr>
          <w:rFonts w:hint="eastAsia"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lang w:val="zh-CN"/>
        </w:rPr>
        <w:t>》所列建设项目的性质、规模、地点、采用的生产工艺和拟采取的各项环境保护措施进行建设，并重点做好以下工作：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落实地表水环境保护措施。</w:t>
      </w:r>
      <w:r>
        <w:rPr>
          <w:rFonts w:hint="eastAsia" w:ascii="仿宋_GB2312" w:hAnsi="仿宋_GB2312" w:eastAsia="仿宋_GB2312" w:cs="仿宋_GB2312"/>
          <w:color w:val="auto"/>
          <w:sz w:val="32"/>
          <w:szCs w:val="32"/>
        </w:rPr>
        <w:t>项目排水系统应实行雨污分流</w:t>
      </w:r>
      <w:r>
        <w:rPr>
          <w:rFonts w:hint="eastAsia" w:ascii="仿宋_GB2312" w:hAnsi="仿宋_GB2312" w:eastAsia="仿宋_GB2312" w:cs="仿宋_GB2312"/>
          <w:color w:val="auto"/>
          <w:sz w:val="32"/>
          <w:szCs w:val="32"/>
          <w:lang w:eastAsia="zh-CN"/>
        </w:rPr>
        <w:t>制</w:t>
      </w:r>
      <w:r>
        <w:rPr>
          <w:rFonts w:hint="eastAsia" w:ascii="仿宋_GB2312" w:hAnsi="仿宋_GB2312" w:eastAsia="仿宋_GB2312" w:cs="仿宋_GB2312"/>
          <w:color w:val="auto"/>
          <w:sz w:val="32"/>
          <w:szCs w:val="32"/>
        </w:rPr>
        <w:t>，注塑工序产生的间接冷却水中污染物达到《合成树脂工业污染物排放标准》（GB31572-2015，含2024修改单）表1中直接排放标准</w:t>
      </w:r>
      <w:r>
        <w:rPr>
          <w:rFonts w:hint="default" w:ascii="Times New Roman" w:hAnsi="Times New Roman" w:eastAsia="仿宋_GB2312" w:cs="Times New Roman"/>
          <w:color w:val="auto"/>
          <w:sz w:val="32"/>
          <w:szCs w:val="32"/>
          <w:lang w:val="en-US" w:eastAsia="zh-CN"/>
        </w:rPr>
        <w:t>后，通过市政污水管网排入黄山市第一水质净化厂处理达标后排入渐江</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生活污水经“一体化生活污水处理设备”处理后污染物达到</w:t>
      </w:r>
      <w:r>
        <w:rPr>
          <w:rFonts w:hint="eastAsia" w:ascii="仿宋_GB2312" w:hAnsi="仿宋_GB2312" w:eastAsia="仿宋_GB2312" w:cs="仿宋_GB2312"/>
          <w:color w:val="auto"/>
          <w:sz w:val="32"/>
          <w:szCs w:val="32"/>
        </w:rPr>
        <w:t>《合成树脂工业污染物排放标准》（GB31572-2015，含2024修改单）表1中直接排放标准</w:t>
      </w:r>
      <w:r>
        <w:rPr>
          <w:rFonts w:hint="default" w:ascii="Times New Roman" w:hAnsi="Times New Roman" w:eastAsia="仿宋_GB2312" w:cs="Times New Roman"/>
          <w:color w:val="auto"/>
          <w:sz w:val="32"/>
          <w:szCs w:val="32"/>
          <w:lang w:val="en-US" w:eastAsia="zh-CN"/>
        </w:rPr>
        <w:t>后，通过市政污水管网排入黄山市第一水质净化厂处理达标后排入渐江。</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Times New Roman" w:eastAsia="仿宋_GB2312" w:cs="Times New Roman"/>
          <w:bCs/>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落实大气污染防治措施。</w:t>
      </w:r>
      <w:r>
        <w:rPr>
          <w:rFonts w:hint="eastAsia" w:eastAsia="仿宋_GB2312"/>
          <w:bCs/>
          <w:color w:val="auto"/>
          <w:sz w:val="32"/>
          <w:szCs w:val="32"/>
        </w:rPr>
        <w:t>项目应确保所在区域环境空气质量达到《环境空气质量标准》（GB 3095-2012及2018年修改单）中规</w:t>
      </w:r>
      <w:r>
        <w:rPr>
          <w:rFonts w:eastAsia="仿宋_GB2312"/>
          <w:bCs/>
          <w:color w:val="auto"/>
          <w:sz w:val="32"/>
          <w:szCs w:val="32"/>
        </w:rPr>
        <w:t>定的二级</w:t>
      </w:r>
      <w:r>
        <w:rPr>
          <w:rFonts w:hint="eastAsia" w:ascii="仿宋_GB2312" w:eastAsia="仿宋_GB2312"/>
          <w:bCs/>
          <w:color w:val="auto"/>
          <w:sz w:val="32"/>
          <w:szCs w:val="32"/>
        </w:rPr>
        <w:t>浓度限值，非甲烷总烃参照执行《大气污染物综合排放标准详解》中的推荐值标准</w:t>
      </w:r>
      <w:r>
        <w:rPr>
          <w:rFonts w:hint="eastAsia" w:ascii="仿宋_GB2312" w:hAnsi="方正仿宋_GB2312" w:eastAsia="仿宋_GB2312" w:cs="方正仿宋_GB2312"/>
          <w:bCs/>
          <w:color w:val="auto"/>
          <w:sz w:val="32"/>
          <w:szCs w:val="32"/>
        </w:rPr>
        <w:t>。</w:t>
      </w:r>
      <w:r>
        <w:rPr>
          <w:rFonts w:hint="default" w:ascii="Times New Roman" w:hAnsi="Times New Roman" w:eastAsia="仿宋_GB2312" w:cs="Times New Roman"/>
          <w:color w:val="auto"/>
          <w:sz w:val="32"/>
          <w:szCs w:val="32"/>
          <w:lang w:val="en-US" w:eastAsia="zh-CN"/>
        </w:rPr>
        <w:t>项目应做好废气收集和处理，</w:t>
      </w:r>
      <w:r>
        <w:rPr>
          <w:rFonts w:hint="default" w:ascii="Times New Roman" w:hAnsi="Times New Roman" w:eastAsia="仿宋_GB2312" w:cs="Times New Roman"/>
          <w:color w:val="auto"/>
          <w:sz w:val="32"/>
          <w:szCs w:val="32"/>
          <w:lang w:val="en-US" w:eastAsia="zh-CN"/>
        </w:rPr>
        <w:t>最大限度减少无组织逸散，按要求建设规范化废气排放口。</w:t>
      </w:r>
      <w:bookmarkStart w:id="0" w:name="OLE_LINK510"/>
      <w:bookmarkStart w:id="1" w:name="OLE_LINK160"/>
      <w:r>
        <w:rPr>
          <w:rFonts w:hint="default" w:ascii="仿宋_GB2312" w:hAnsi="Times New Roman" w:eastAsia="仿宋_GB2312" w:cs="Times New Roman"/>
          <w:bCs/>
          <w:color w:val="auto"/>
          <w:sz w:val="32"/>
          <w:szCs w:val="32"/>
        </w:rPr>
        <w:t>注塑废气在注塑机射嘴区域采用全封闭不锈钢箱体包裹负压收集</w:t>
      </w:r>
      <w:r>
        <w:rPr>
          <w:rFonts w:hint="default" w:ascii="仿宋_GB2312" w:hAnsi="Times New Roman" w:eastAsia="仿宋_GB2312" w:cs="Times New Roman"/>
          <w:bCs/>
          <w:color w:val="auto"/>
          <w:sz w:val="32"/>
          <w:szCs w:val="32"/>
        </w:rPr>
        <w:t>，通过一套“吸附浓缩脱附+催化燃烧”装置处理后</w:t>
      </w:r>
      <w:r>
        <w:rPr>
          <w:rFonts w:hint="eastAsia" w:ascii="仿宋_GB2312" w:eastAsia="仿宋_GB2312" w:cs="Times New Roman"/>
          <w:bCs/>
          <w:color w:val="auto"/>
          <w:sz w:val="32"/>
          <w:szCs w:val="32"/>
          <w:lang w:eastAsia="zh-CN"/>
        </w:rPr>
        <w:t>通过不低于</w:t>
      </w:r>
      <w:r>
        <w:rPr>
          <w:rFonts w:hint="eastAsia" w:ascii="仿宋_GB2312" w:hAnsi="Times New Roman" w:eastAsia="仿宋_GB2312" w:cs="Times New Roman"/>
          <w:bCs/>
          <w:color w:val="auto"/>
          <w:sz w:val="32"/>
          <w:szCs w:val="32"/>
        </w:rPr>
        <w:t>15m</w:t>
      </w:r>
      <w:r>
        <w:rPr>
          <w:rFonts w:hint="eastAsia" w:ascii="仿宋_GB2312" w:eastAsia="仿宋_GB2312" w:cs="Times New Roman"/>
          <w:bCs/>
          <w:color w:val="auto"/>
          <w:sz w:val="32"/>
          <w:szCs w:val="32"/>
          <w:lang w:eastAsia="zh-CN"/>
        </w:rPr>
        <w:t>高</w:t>
      </w:r>
      <w:r>
        <w:rPr>
          <w:rFonts w:hint="eastAsia" w:ascii="仿宋_GB2312" w:hAnsi="Times New Roman" w:eastAsia="仿宋_GB2312" w:cs="Times New Roman"/>
          <w:bCs/>
          <w:color w:val="auto"/>
          <w:sz w:val="32"/>
          <w:szCs w:val="32"/>
        </w:rPr>
        <w:t>排气筒排放</w:t>
      </w:r>
      <w:r>
        <w:rPr>
          <w:rFonts w:hint="eastAsia" w:ascii="仿宋_GB2312" w:hAnsi="Times New Roman" w:eastAsia="仿宋_GB2312" w:cs="Times New Roman"/>
          <w:bCs/>
          <w:color w:val="auto"/>
          <w:sz w:val="32"/>
          <w:szCs w:val="32"/>
          <w:lang w:eastAsia="zh-CN"/>
        </w:rPr>
        <w:t>。有组织排放的非甲烷总烃排放浓度</w:t>
      </w:r>
      <w:r>
        <w:rPr>
          <w:rFonts w:hint="eastAsia" w:ascii="仿宋_GB2312" w:hAnsi="Times New Roman" w:eastAsia="仿宋_GB2312" w:cs="Times New Roman"/>
          <w:bCs/>
          <w:color w:val="auto"/>
          <w:sz w:val="32"/>
          <w:szCs w:val="32"/>
        </w:rPr>
        <w:t>应达到《固定源挥发性有机物综合排放标准 第6部分：其他行业》（DB 34/4812.6-2024）表1中塑料制品工业的排放</w:t>
      </w:r>
      <w:r>
        <w:rPr>
          <w:rFonts w:hint="eastAsia" w:ascii="仿宋_GB2312" w:hAnsi="Times New Roman" w:eastAsia="仿宋_GB2312" w:cs="Times New Roman"/>
          <w:bCs/>
          <w:color w:val="auto"/>
          <w:sz w:val="32"/>
          <w:szCs w:val="32"/>
          <w:lang w:val="en-US" w:eastAsia="zh-CN"/>
        </w:rPr>
        <w:t>限值</w:t>
      </w:r>
      <w:r>
        <w:rPr>
          <w:rFonts w:hint="eastAsia" w:ascii="仿宋_GB2312" w:hAnsi="Times New Roman" w:eastAsia="仿宋_GB2312" w:cs="Times New Roman"/>
          <w:bCs/>
          <w:color w:val="auto"/>
          <w:sz w:val="32"/>
          <w:szCs w:val="32"/>
        </w:rPr>
        <w:t>，</w:t>
      </w:r>
      <w:r>
        <w:rPr>
          <w:rFonts w:hint="eastAsia" w:ascii="仿宋_GB2312" w:eastAsia="仿宋_GB2312" w:cs="Times New Roman"/>
          <w:bCs/>
          <w:color w:val="auto"/>
          <w:sz w:val="32"/>
          <w:szCs w:val="32"/>
          <w:lang w:val="en-US" w:eastAsia="zh-CN"/>
        </w:rPr>
        <w:t>厂界</w:t>
      </w:r>
      <w:r>
        <w:rPr>
          <w:rFonts w:hint="default" w:ascii="仿宋_GB2312" w:hAnsi="Times New Roman" w:eastAsia="仿宋_GB2312" w:cs="Times New Roman"/>
          <w:bCs/>
          <w:color w:val="auto"/>
          <w:sz w:val="32"/>
          <w:szCs w:val="32"/>
          <w:lang w:val="en-US" w:eastAsia="zh-CN"/>
        </w:rPr>
        <w:t>无组织排放的</w:t>
      </w:r>
      <w:r>
        <w:rPr>
          <w:rFonts w:hint="eastAsia" w:ascii="仿宋_GB2312" w:hAnsi="Times New Roman" w:eastAsia="仿宋_GB2312" w:cs="Times New Roman"/>
          <w:bCs/>
          <w:color w:val="auto"/>
          <w:sz w:val="32"/>
          <w:szCs w:val="32"/>
          <w:lang w:val="en-US" w:eastAsia="zh-CN"/>
        </w:rPr>
        <w:t>非甲烷总烃排放浓度应达到《合成树脂工业污染物排放标准》（GB31572-2015）表9中排放限值，厂区内非甲烷总烃无组织排放应达到《固定源挥发性有机物综合排放标准 第6部分：其他行业》（DB 34/4812.6—2024）表4中排放限值，臭气浓度排放应达到《恶臭污染物排放标准》（GB 14554-93）表1、表2中二级标准限值要求。</w:t>
      </w:r>
    </w:p>
    <w:p>
      <w:pPr>
        <w:keepNext w:val="0"/>
        <w:keepLines w:val="0"/>
        <w:pageBreakBefore w:val="0"/>
        <w:widowControl/>
        <w:kinsoku/>
        <w:wordWrap/>
        <w:overflowPunct/>
        <w:topLinePunct w:val="0"/>
        <w:autoSpaceDE/>
        <w:autoSpaceDN/>
        <w:bidi w:val="0"/>
        <w:adjustRightInd/>
        <w:spacing w:line="560" w:lineRule="exact"/>
        <w:ind w:firstLine="640"/>
        <w:textAlignment w:val="auto"/>
        <w:rPr>
          <w:rFonts w:hint="eastAsia" w:ascii="仿宋_GB2312" w:hAnsi="Times New Roman" w:eastAsia="仿宋_GB2312" w:cs="Times New Roman"/>
          <w:bCs/>
          <w:color w:val="auto"/>
          <w:sz w:val="32"/>
          <w:szCs w:val="32"/>
          <w:lang w:val="en-US" w:eastAsia="zh-CN"/>
        </w:rPr>
      </w:pPr>
      <w:r>
        <w:rPr>
          <w:rFonts w:hint="eastAsia" w:ascii="仿宋_GB2312" w:hAnsi="Times New Roman" w:eastAsia="仿宋_GB2312" w:cs="Times New Roman"/>
          <w:bCs/>
          <w:color w:val="auto"/>
          <w:sz w:val="32"/>
          <w:szCs w:val="32"/>
          <w:lang w:val="en-US" w:eastAsia="zh-CN"/>
        </w:rPr>
        <w:t>项目环境防护距离为西侧厂界外44m，其他都在厂界内。该环境防护距离范围内不得有医院、学校、居民住宅、食品企业等环境敏感建筑物。</w:t>
      </w:r>
    </w:p>
    <w:bookmarkEnd w:id="0"/>
    <w:bookmarkEnd w:id="1"/>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w:t>
      </w:r>
      <w:r>
        <w:rPr>
          <w:rFonts w:hint="default" w:ascii="Times New Roman" w:hAnsi="Times New Roman" w:eastAsia="仿宋_GB2312" w:cs="Times New Roman"/>
          <w:color w:val="auto"/>
          <w:sz w:val="32"/>
          <w:szCs w:val="32"/>
          <w:lang w:val="en-US" w:eastAsia="zh-CN"/>
        </w:rPr>
        <w:t>对废活性炭、废催化剂、废液压油、废机油、废油桶</w:t>
      </w:r>
      <w:r>
        <w:rPr>
          <w:rFonts w:hint="default" w:ascii="Times New Roman" w:hAnsi="Times New Roman" w:eastAsia="仿宋_GB2312" w:cs="Times New Roman"/>
          <w:color w:val="auto"/>
          <w:sz w:val="32"/>
          <w:szCs w:val="32"/>
        </w:rPr>
        <w:t>等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应制定危险废物管理计划，并将管理计划及危险废物管理有关资料向环境保护行政主管部门申报、备案。</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做好地下水、土壤污染防治工作。落实《报告</w:t>
      </w:r>
      <w:r>
        <w:rPr>
          <w:rFonts w:hint="eastAsia"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rPr>
        <w:t>》中分区防渗重点污染防治区防渗措施和其它区域的防渗措施</w:t>
      </w:r>
      <w:r>
        <w:rPr>
          <w:rFonts w:hint="eastAsia" w:ascii="Times New Roman" w:hAnsi="Times New Roman" w:eastAsia="仿宋_GB2312" w:cs="Times New Roman"/>
          <w:color w:val="auto"/>
          <w:sz w:val="32"/>
          <w:szCs w:val="32"/>
          <w:lang w:eastAsia="zh-CN"/>
        </w:rPr>
        <w:t>，确保地下水环境质量达到《地下水质量标准》(GB/T14848-2017)中的</w:t>
      </w:r>
      <w:r>
        <w:rPr>
          <w:rFonts w:hint="default" w:ascii="Times New Roman" w:hAnsi="Times New Roman" w:eastAsia="仿宋_GB2312" w:cs="Times New Roman"/>
          <w:color w:val="auto"/>
          <w:sz w:val="32"/>
          <w:szCs w:val="32"/>
          <w:lang w:val="en-US" w:eastAsia="zh-CN"/>
        </w:rPr>
        <w:t>Ⅲ</w:t>
      </w:r>
      <w:r>
        <w:rPr>
          <w:rFonts w:hint="eastAsia" w:ascii="Times New Roman" w:hAnsi="Times New Roman" w:eastAsia="仿宋_GB2312" w:cs="Times New Roman"/>
          <w:color w:val="auto"/>
          <w:sz w:val="32"/>
          <w:szCs w:val="32"/>
          <w:lang w:eastAsia="zh-CN"/>
        </w:rPr>
        <w:t>类标准，建设用地土壤满足《士壤环境质量标准建设用地土壤污染风险管控标准(试行)》GB36600-2018)表1中第二类用地选值标准，防止地下水、土壤受到污染，确保项目区域的地下水、土壤环境质量不降低。</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落实噪声污染防治措施。优先选用低噪声设备，对各类噪声源采取必要的隔声、减</w:t>
      </w:r>
      <w:r>
        <w:rPr>
          <w:rFonts w:hint="eastAsia" w:ascii="Times New Roman" w:hAnsi="Times New Roman" w:eastAsia="仿宋_GB2312" w:cs="Times New Roman"/>
          <w:color w:val="auto"/>
          <w:sz w:val="32"/>
          <w:szCs w:val="32"/>
          <w:lang w:val="en-US" w:eastAsia="zh-CN"/>
        </w:rPr>
        <w:t>振</w:t>
      </w:r>
      <w:r>
        <w:rPr>
          <w:rFonts w:hint="default" w:ascii="Times New Roman" w:hAnsi="Times New Roman" w:eastAsia="仿宋_GB2312" w:cs="Times New Roman"/>
          <w:color w:val="auto"/>
          <w:sz w:val="32"/>
          <w:szCs w:val="32"/>
        </w:rPr>
        <w:t>、消声、降噪措施，确保项目生产过程中厂界昼夜噪声符合《工业企业厂界环境噪声排放标准》（GB12348-2008）中3类标准的限值要求。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做好项目的环境风险防范工作。建立环境风险应急管理体系，根据项目的建设内容</w:t>
      </w:r>
      <w:r>
        <w:rPr>
          <w:rFonts w:hint="eastAsia" w:ascii="Times New Roman" w:hAnsi="Times New Roman" w:eastAsia="仿宋_GB2312" w:cs="Times New Roman"/>
          <w:color w:val="auto"/>
          <w:sz w:val="32"/>
          <w:szCs w:val="32"/>
          <w:lang w:val="en-US" w:eastAsia="zh-CN"/>
        </w:rPr>
        <w:t>编制</w:t>
      </w:r>
      <w:r>
        <w:rPr>
          <w:rFonts w:hint="default" w:ascii="Times New Roman" w:hAnsi="Times New Roman" w:eastAsia="仿宋_GB2312" w:cs="Times New Roman"/>
          <w:color w:val="auto"/>
          <w:sz w:val="32"/>
          <w:szCs w:val="32"/>
        </w:rPr>
        <w:t>突发环境事件应急预案，保证防范环境风险的配套设施的落实；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建立健全环境管理规章制度，设立环境管理机构，确定专人负责环保工作。制定环境监测计划，定期开展环境监测。加强对污染治理设施的管理和维护，确保污染治理设施正常运行，污染物稳定达标排放。</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施工期应按《报告</w:t>
      </w:r>
      <w:r>
        <w:rPr>
          <w:rFonts w:hint="eastAsia"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rPr>
        <w:t>》要求及相关规定落实废气、废水、噪声等污染防治措施，做好固体废物管理，确保施工期污染物达标排放。</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污水处理、</w:t>
      </w:r>
      <w:r>
        <w:rPr>
          <w:rFonts w:hint="eastAsia" w:ascii="Times New Roman" w:hAnsi="Times New Roman" w:eastAsia="仿宋_GB2312" w:cs="Times New Roman"/>
          <w:color w:val="auto"/>
          <w:sz w:val="32"/>
          <w:szCs w:val="32"/>
          <w:lang w:val="en-US" w:eastAsia="zh-CN"/>
        </w:rPr>
        <w:t>活性炭吸附脱附、催化燃烧装置</w:t>
      </w:r>
      <w:r>
        <w:rPr>
          <w:rFonts w:hint="default" w:ascii="Times New Roman" w:hAnsi="Times New Roman" w:eastAsia="仿宋_GB2312" w:cs="Times New Roman"/>
          <w:color w:val="auto"/>
          <w:sz w:val="32"/>
          <w:szCs w:val="32"/>
        </w:rPr>
        <w:t>等重点环保设备设施，开展环保设备设施安全风险辨识评估和隐患排查治理，落实安全生产各项责任措施。环保设备设施依法开展安全风险评估，按要求设置安全监测监控系统和联锁保护装置，做好安全防范。</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、建设项目必须严格执行环境保护“三同时”制度。项目规划设计应同步落实防治环境污染和生态破坏措施设计，保证环境保护设施投入。环保设施建设必须纳入施工合同，保证环保设施建设进度和资金。</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、《报告</w:t>
      </w:r>
      <w:r>
        <w:rPr>
          <w:rFonts w:hint="eastAsia"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rPr>
        <w:t>》经批准后，如项目的性质、规模、地点、采用的生产工艺或防治污染的措施发生重大变动的，应依法重新报批项目的环境影响评价文件。超过五年方决定该项目开工建设的，应依法报我局重新审核。</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、国家对本项目应执行的环境标准作出修订或新颁布的要求，执行新标准和新要求。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主要污染物总量控制指标：挥发性有机物4.925吨/年、化学需氧量0.17吨/年、氨氮0.017吨/年</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yellow"/>
        </w:rPr>
      </w:pPr>
      <w:r>
        <w:rPr>
          <w:rFonts w:hint="eastAsia"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、该项目投入生产或使用并产生实际排污行为之前，按《固定污染源排污许可分类管理名录》申领排污许可证。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、该项目建成后，应按照法定程序和要求及时开展建设项目竣工环境保护验收和验收信息报送工作，并依法依规公开相关信息。</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十、项目实施过程中应依法严格执行相关主管部门规定，取得法定许可后方可开工。</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bookmarkStart w:id="2" w:name="OLE_LINK16"/>
      <w:r>
        <w:rPr>
          <w:rFonts w:hint="default" w:ascii="Times New Roman" w:hAnsi="Times New Roman" w:eastAsia="仿宋_GB2312" w:cs="Times New Roman"/>
          <w:color w:val="auto"/>
          <w:sz w:val="32"/>
          <w:szCs w:val="32"/>
        </w:rPr>
        <w:t>十</w:t>
      </w:r>
      <w:r>
        <w:rPr>
          <w:rFonts w:hint="eastAsia"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w:t>
      </w:r>
      <w:bookmarkStart w:id="3" w:name="OLE_LINK14"/>
      <w:r>
        <w:rPr>
          <w:rFonts w:hint="default" w:ascii="Times New Roman" w:hAnsi="Times New Roman" w:eastAsia="仿宋_GB2312" w:cs="Times New Roman"/>
          <w:color w:val="auto"/>
          <w:sz w:val="32"/>
          <w:szCs w:val="32"/>
        </w:rPr>
        <w:t>请市生态环境保护综合行政执法支队</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屯溪区生态环境分局负责该项目环保“三同时”日常监督管理工作。</w:t>
      </w:r>
    </w:p>
    <w:bookmarkEnd w:id="2"/>
    <w:bookmarkEnd w:id="3"/>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color w:val="auto"/>
          <w:kern w:val="0"/>
          <w:sz w:val="24"/>
          <w:szCs w:val="20"/>
        </w:rPr>
      </w:pP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楷体" w:cs="Times New Roman"/>
          <w:color w:val="auto"/>
          <w:sz w:val="24"/>
        </w:rPr>
      </w:pPr>
    </w:p>
    <w:p>
      <w:pPr>
        <w:keepNext w:val="0"/>
        <w:keepLines w:val="0"/>
        <w:pageBreakBefore w:val="0"/>
        <w:widowControl/>
        <w:kinsoku/>
        <w:wordWrap/>
        <w:overflowPunct/>
        <w:topLinePunct w:val="0"/>
        <w:autoSpaceDE/>
        <w:autoSpaceDN/>
        <w:bidi w:val="0"/>
        <w:adjustRightInd/>
        <w:snapToGrid w:val="0"/>
        <w:spacing w:line="560" w:lineRule="exact"/>
        <w:ind w:firstLine="5120" w:firstLineChars="16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 xml:space="preserve">日 </w:t>
      </w:r>
      <w:r>
        <w:rPr>
          <w:rFonts w:hint="default" w:ascii="Times New Roman" w:hAnsi="Times New Roman" w:eastAsia="仿宋_GB2312" w:cs="Times New Roman"/>
          <w:color w:val="auto"/>
          <w:sz w:val="32"/>
          <w:szCs w:val="32"/>
          <w:highlight w:val="none"/>
        </w:rPr>
        <w:t xml:space="preserve"> </w:t>
      </w:r>
    </w:p>
    <w:p>
      <w:pPr>
        <w:spacing w:line="560" w:lineRule="exact"/>
        <w:jc w:val="both"/>
        <w:rPr>
          <w:rFonts w:hint="default" w:ascii="Times New Roman" w:hAnsi="Times New Roman" w:eastAsia="仿宋_GB2312" w:cs="Times New Roman"/>
          <w:color w:val="auto"/>
          <w:sz w:val="32"/>
          <w:szCs w:val="32"/>
        </w:rPr>
      </w:pPr>
    </w:p>
    <w:p>
      <w:pPr>
        <w:pStyle w:val="22"/>
        <w:rPr>
          <w:rFonts w:hint="eastAsia" w:eastAsia="仿宋_GB2312"/>
          <w:color w:val="auto"/>
          <w:sz w:val="32"/>
          <w:szCs w:val="32"/>
        </w:rPr>
      </w:pPr>
    </w:p>
    <w:p>
      <w:pPr>
        <w:pStyle w:val="22"/>
        <w:rPr>
          <w:rFonts w:hint="eastAsia" w:eastAsia="仿宋_GB2312"/>
          <w:color w:val="auto"/>
          <w:sz w:val="32"/>
          <w:szCs w:val="32"/>
        </w:rPr>
      </w:pPr>
      <w:bookmarkStart w:id="4" w:name="_GoBack"/>
      <w:bookmarkEnd w:id="4"/>
    </w:p>
    <w:tbl>
      <w:tblPr>
        <w:tblStyle w:val="15"/>
        <w:tblpPr w:leftFromText="180" w:rightFromText="180" w:vertAnchor="text" w:horzAnchor="page" w:tblpX="1327" w:tblpY="79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300" w:type="dxa"/>
            <w:tcBorders>
              <w:top w:val="single" w:color="auto" w:sz="4" w:space="0"/>
              <w:left w:val="nil"/>
              <w:bottom w:val="single" w:color="auto" w:sz="4" w:space="0"/>
              <w:right w:val="nil"/>
            </w:tcBorders>
            <w:noWrap w:val="0"/>
            <w:vAlign w:val="center"/>
          </w:tcPr>
          <w:p>
            <w:pPr>
              <w:adjustRightInd w:val="0"/>
              <w:snapToGrid w:val="0"/>
              <w:spacing w:line="560" w:lineRule="exact"/>
              <w:ind w:left="1050" w:leftChars="100" w:hanging="840" w:hangingChars="3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抄送</w:t>
            </w:r>
            <w:r>
              <w:rPr>
                <w:rFonts w:hint="default" w:ascii="Times New Roman" w:hAnsi="Times New Roman" w:eastAsia="仿宋_GB2312" w:cs="Times New Roman"/>
                <w:color w:val="auto"/>
                <w:sz w:val="28"/>
                <w:szCs w:val="28"/>
                <w:lang w:val="zh-CN"/>
              </w:rPr>
              <w:t>：市生态环境保护综合行政执法支队，</w:t>
            </w:r>
            <w:r>
              <w:rPr>
                <w:rFonts w:hint="eastAsia" w:ascii="Times New Roman" w:hAnsi="Times New Roman" w:eastAsia="仿宋_GB2312" w:cs="Times New Roman"/>
                <w:color w:val="auto"/>
                <w:sz w:val="28"/>
                <w:szCs w:val="28"/>
                <w:lang w:val="zh-CN" w:eastAsia="zh-CN"/>
              </w:rPr>
              <w:t>屯溪区生态环境分局</w:t>
            </w:r>
            <w:r>
              <w:rPr>
                <w:rFonts w:hint="default" w:ascii="Times New Roman" w:hAnsi="Times New Roman" w:eastAsia="仿宋_GB2312" w:cs="Times New Roman"/>
                <w:color w:val="auto"/>
                <w:sz w:val="28"/>
                <w:szCs w:val="28"/>
                <w:lang w:val="zh-CN"/>
              </w:rPr>
              <w:t>，</w:t>
            </w:r>
            <w:r>
              <w:rPr>
                <w:rFonts w:hint="eastAsia" w:ascii="Times New Roman" w:hAnsi="Times New Roman" w:eastAsia="仿宋_GB2312" w:cs="Times New Roman"/>
                <w:color w:val="auto"/>
                <w:sz w:val="28"/>
                <w:szCs w:val="28"/>
                <w:lang w:val="en-US" w:eastAsia="zh-CN"/>
              </w:rPr>
              <w:t>安徽中盈工程技术咨询有限公司</w:t>
            </w:r>
            <w:r>
              <w:rPr>
                <w:rFonts w:hint="default" w:ascii="Times New Roman" w:hAnsi="Times New Roman" w:eastAsia="仿宋_GB2312" w:cs="Times New Roman"/>
                <w:color w:val="auto"/>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300" w:type="dxa"/>
            <w:tcBorders>
              <w:top w:val="single" w:color="auto" w:sz="4" w:space="0"/>
              <w:left w:val="nil"/>
              <w:bottom w:val="single" w:color="auto" w:sz="4" w:space="0"/>
              <w:right w:val="nil"/>
            </w:tcBorders>
            <w:noWrap w:val="0"/>
            <w:vAlign w:val="center"/>
          </w:tcPr>
          <w:p>
            <w:pPr>
              <w:adjustRightInd w:val="0"/>
              <w:snapToGrid w:val="0"/>
              <w:spacing w:line="560" w:lineRule="exact"/>
              <w:ind w:firstLine="140" w:firstLineChars="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黄山市生态环境局                        </w:t>
            </w:r>
            <w:r>
              <w:rPr>
                <w:rFonts w:hint="default" w:ascii="Times New Roman" w:hAnsi="Times New Roman" w:eastAsia="仿宋_GB2312" w:cs="Times New Roman"/>
                <w:color w:val="auto"/>
                <w:sz w:val="28"/>
                <w:szCs w:val="28"/>
                <w:highlight w:val="none"/>
                <w:lang w:val="en-US" w:eastAsia="zh-CN"/>
              </w:rPr>
              <w:t xml:space="preserve">  202</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年</w:t>
            </w: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月</w:t>
            </w:r>
            <w:r>
              <w:rPr>
                <w:rFonts w:hint="eastAsia"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lang w:val="en-US" w:eastAsia="zh-CN"/>
              </w:rPr>
              <w:t>日印</w:t>
            </w:r>
            <w:r>
              <w:rPr>
                <w:rFonts w:hint="default" w:ascii="Times New Roman" w:hAnsi="Times New Roman" w:eastAsia="仿宋_GB2312" w:cs="Times New Roman"/>
                <w:color w:val="auto"/>
                <w:sz w:val="28"/>
                <w:szCs w:val="28"/>
                <w:highlight w:val="none"/>
              </w:rPr>
              <w:t>发</w:t>
            </w:r>
          </w:p>
        </w:tc>
      </w:tr>
    </w:tbl>
    <w:p>
      <w:pPr>
        <w:pStyle w:val="22"/>
        <w:rPr>
          <w:rFonts w:hint="eastAsia" w:eastAsia="仿宋_GB2312"/>
          <w:color w:val="auto"/>
          <w:sz w:val="32"/>
          <w:szCs w:val="32"/>
        </w:rPr>
      </w:pPr>
    </w:p>
    <w:p>
      <w:pPr>
        <w:pStyle w:val="22"/>
        <w:rPr>
          <w:rFonts w:hint="eastAsia" w:eastAsia="仿宋_GB2312"/>
          <w:color w:val="auto"/>
          <w:sz w:val="32"/>
          <w:szCs w:val="32"/>
        </w:rPr>
      </w:pPr>
    </w:p>
    <w:p>
      <w:pPr>
        <w:pStyle w:val="22"/>
        <w:rPr>
          <w:rFonts w:hint="eastAsia" w:eastAsia="仿宋_GB2312"/>
          <w:color w:val="auto"/>
          <w:sz w:val="32"/>
          <w:szCs w:val="32"/>
        </w:rPr>
      </w:pPr>
    </w:p>
    <w:p>
      <w:pPr>
        <w:pStyle w:val="22"/>
        <w:rPr>
          <w:rFonts w:hint="eastAsia" w:eastAsia="仿宋_GB2312"/>
          <w:color w:val="auto"/>
          <w:sz w:val="32"/>
          <w:szCs w:val="32"/>
        </w:rPr>
      </w:pPr>
    </w:p>
    <w:p>
      <w:pPr>
        <w:pStyle w:val="22"/>
        <w:rPr>
          <w:rFonts w:hint="eastAsia" w:eastAsia="仿宋_GB2312"/>
          <w:color w:val="auto"/>
          <w:sz w:val="32"/>
          <w:szCs w:val="32"/>
        </w:rPr>
      </w:pPr>
    </w:p>
    <w:p>
      <w:pPr>
        <w:pStyle w:val="22"/>
        <w:rPr>
          <w:rFonts w:hint="eastAsia" w:eastAsia="仿宋_GB2312"/>
          <w:color w:val="auto"/>
          <w:sz w:val="32"/>
          <w:szCs w:val="32"/>
        </w:rPr>
      </w:pPr>
    </w:p>
    <w:p>
      <w:pPr>
        <w:pStyle w:val="22"/>
        <w:rPr>
          <w:rFonts w:hint="eastAsia" w:eastAsia="仿宋_GB2312"/>
          <w:color w:val="auto"/>
          <w:sz w:val="32"/>
          <w:szCs w:val="32"/>
        </w:rPr>
      </w:pPr>
    </w:p>
    <w:p>
      <w:pPr>
        <w:pStyle w:val="22"/>
        <w:rPr>
          <w:rFonts w:hint="eastAsia" w:eastAsia="仿宋_GB2312"/>
          <w:color w:val="auto"/>
          <w:sz w:val="32"/>
          <w:szCs w:val="32"/>
        </w:rPr>
      </w:pPr>
    </w:p>
    <w:p>
      <w:pPr>
        <w:pStyle w:val="22"/>
        <w:rPr>
          <w:rFonts w:hint="eastAsia" w:eastAsia="仿宋_GB2312"/>
          <w:color w:val="auto"/>
          <w:sz w:val="32"/>
          <w:szCs w:val="32"/>
        </w:rPr>
      </w:pPr>
    </w:p>
    <w:p>
      <w:pPr>
        <w:pStyle w:val="22"/>
        <w:rPr>
          <w:rFonts w:hint="eastAsia" w:eastAsia="仿宋_GB2312"/>
          <w:color w:val="auto"/>
          <w:sz w:val="32"/>
          <w:szCs w:val="32"/>
        </w:rPr>
      </w:pPr>
    </w:p>
    <w:p>
      <w:pPr>
        <w:pStyle w:val="22"/>
        <w:rPr>
          <w:rFonts w:hint="eastAsia" w:eastAsia="仿宋_GB2312"/>
          <w:color w:val="auto"/>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 xml:space="preserve"> </w:t>
      </w: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5F" w:usb2="00000000" w:usb3="00000000" w:csb0="2000019F" w:csb1="00000000"/>
  </w:font>
  <w:font w:name="方正小标宋简体">
    <w:panose1 w:val="02010601030101010101"/>
    <w:charset w:val="86"/>
    <w:family w:val="roma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1"/>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D90CB9"/>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61F21D6"/>
    <w:rsid w:val="266F09BF"/>
    <w:rsid w:val="276E7A08"/>
    <w:rsid w:val="27DB1A59"/>
    <w:rsid w:val="28193786"/>
    <w:rsid w:val="28837790"/>
    <w:rsid w:val="28DA522C"/>
    <w:rsid w:val="28FB4835"/>
    <w:rsid w:val="2918284B"/>
    <w:rsid w:val="2A313896"/>
    <w:rsid w:val="2B206969"/>
    <w:rsid w:val="2BEE242F"/>
    <w:rsid w:val="2CC81B9C"/>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05152D"/>
    <w:rsid w:val="38FE4203"/>
    <w:rsid w:val="39385A7A"/>
    <w:rsid w:val="39513FFD"/>
    <w:rsid w:val="3A1351FB"/>
    <w:rsid w:val="3A3C4D2A"/>
    <w:rsid w:val="3ACC3543"/>
    <w:rsid w:val="3BF861C1"/>
    <w:rsid w:val="3C065F73"/>
    <w:rsid w:val="3C834E15"/>
    <w:rsid w:val="3D525856"/>
    <w:rsid w:val="3DAF5796"/>
    <w:rsid w:val="3DBC2243"/>
    <w:rsid w:val="3DD75419"/>
    <w:rsid w:val="3DDF71DA"/>
    <w:rsid w:val="3DFD798D"/>
    <w:rsid w:val="3F4D3010"/>
    <w:rsid w:val="407A652F"/>
    <w:rsid w:val="40972C3D"/>
    <w:rsid w:val="41201211"/>
    <w:rsid w:val="413466DE"/>
    <w:rsid w:val="41EE2D31"/>
    <w:rsid w:val="41F8595E"/>
    <w:rsid w:val="422E312E"/>
    <w:rsid w:val="43EE526A"/>
    <w:rsid w:val="44004B72"/>
    <w:rsid w:val="4401121A"/>
    <w:rsid w:val="46307D9C"/>
    <w:rsid w:val="46892EE1"/>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6A4B22"/>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locked/>
    <w:uiPriority w:val="0"/>
    <w:pPr>
      <w:keepNext/>
      <w:keepLines/>
      <w:spacing w:before="340" w:after="330" w:line="578" w:lineRule="auto"/>
      <w:outlineLvl w:val="0"/>
    </w:pPr>
    <w:rPr>
      <w:b/>
      <w:bCs/>
      <w:kern w:val="44"/>
      <w:sz w:val="44"/>
      <w:szCs w:val="44"/>
    </w:rPr>
  </w:style>
  <w:style w:type="paragraph" w:styleId="6">
    <w:name w:val="heading 2"/>
    <w:basedOn w:val="1"/>
    <w:next w:val="1"/>
    <w:link w:val="29"/>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1"/>
    <w:next w:val="1"/>
    <w:unhideWhenUsed/>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0"/>
    <w:qFormat/>
    <w:uiPriority w:val="0"/>
    <w:pPr>
      <w:ind w:firstLine="420" w:firstLineChars="200"/>
    </w:pPr>
    <w:rPr>
      <w:kern w:val="0"/>
      <w:sz w:val="24"/>
      <w:szCs w:val="20"/>
    </w:rPr>
  </w:style>
  <w:style w:type="paragraph" w:styleId="3">
    <w:name w:val="Body Text First Indent 2"/>
    <w:basedOn w:val="4"/>
    <w:next w:val="1"/>
    <w:qFormat/>
    <w:uiPriority w:val="0"/>
    <w:pPr>
      <w:ind w:firstLine="420" w:firstLineChars="200"/>
    </w:pPr>
  </w:style>
  <w:style w:type="paragraph" w:styleId="7">
    <w:name w:val="annotation text"/>
    <w:basedOn w:val="1"/>
    <w:link w:val="31"/>
    <w:semiHidden/>
    <w:qFormat/>
    <w:uiPriority w:val="0"/>
    <w:pPr>
      <w:jc w:val="left"/>
    </w:pPr>
    <w:rPr>
      <w:szCs w:val="21"/>
    </w:rPr>
  </w:style>
  <w:style w:type="paragraph" w:styleId="8">
    <w:name w:val="Body Text"/>
    <w:basedOn w:val="1"/>
    <w:next w:val="1"/>
    <w:qFormat/>
    <w:uiPriority w:val="0"/>
    <w:pPr>
      <w:spacing w:after="120"/>
    </w:pPr>
  </w:style>
  <w:style w:type="paragraph" w:styleId="9">
    <w:name w:val="Date"/>
    <w:basedOn w:val="1"/>
    <w:next w:val="1"/>
    <w:link w:val="32"/>
    <w:qFormat/>
    <w:uiPriority w:val="0"/>
    <w:pPr>
      <w:ind w:left="100" w:leftChars="2500"/>
    </w:pPr>
    <w:rPr>
      <w:sz w:val="24"/>
    </w:rPr>
  </w:style>
  <w:style w:type="paragraph" w:styleId="10">
    <w:name w:val="Body Text Indent 2"/>
    <w:basedOn w:val="1"/>
    <w:link w:val="33"/>
    <w:qFormat/>
    <w:uiPriority w:val="0"/>
    <w:pPr>
      <w:spacing w:line="590" w:lineRule="exact"/>
      <w:ind w:firstLine="880" w:firstLineChars="200"/>
    </w:pPr>
    <w:rPr>
      <w:rFonts w:eastAsia="方正仿宋_GBK"/>
    </w:rPr>
  </w:style>
  <w:style w:type="paragraph" w:styleId="11">
    <w:name w:val="footer"/>
    <w:basedOn w:val="1"/>
    <w:link w:val="34"/>
    <w:qFormat/>
    <w:uiPriority w:val="0"/>
    <w:pPr>
      <w:tabs>
        <w:tab w:val="center" w:pos="4153"/>
        <w:tab w:val="right" w:pos="8306"/>
      </w:tabs>
      <w:snapToGrid w:val="0"/>
      <w:jc w:val="left"/>
    </w:pPr>
    <w:rPr>
      <w:sz w:val="18"/>
      <w:szCs w:val="20"/>
    </w:rPr>
  </w:style>
  <w:style w:type="paragraph" w:styleId="12">
    <w:name w:val="header"/>
    <w:basedOn w:val="1"/>
    <w:link w:val="35"/>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locked/>
    <w:uiPriority w:val="0"/>
    <w:rPr>
      <w:rFonts w:cs="Times New Roman"/>
      <w:b/>
      <w:bCs/>
    </w:rPr>
  </w:style>
  <w:style w:type="character" w:styleId="19">
    <w:name w:val="page number"/>
    <w:qFormat/>
    <w:uiPriority w:val="0"/>
    <w:rPr>
      <w:rFonts w:cs="Times New Roman"/>
    </w:rPr>
  </w:style>
  <w:style w:type="character" w:styleId="20">
    <w:name w:val="Emphasis"/>
    <w:qFormat/>
    <w:locked/>
    <w:uiPriority w:val="0"/>
    <w:rPr>
      <w:rFonts w:cs="Times New Roman"/>
      <w:i/>
      <w:iCs/>
    </w:rPr>
  </w:style>
  <w:style w:type="character" w:styleId="21">
    <w:name w:val="Hyperlink"/>
    <w:qFormat/>
    <w:uiPriority w:val="0"/>
    <w:rPr>
      <w:rFonts w:ascii="微软雅黑" w:hAnsi="微软雅黑" w:eastAsia="微软雅黑"/>
      <w:color w:val="000000"/>
      <w:sz w:val="18"/>
      <w:u w:val="none"/>
    </w:rPr>
  </w:style>
  <w:style w:type="paragraph" w:customStyle="1" w:styleId="22">
    <w:name w:val="附图图片"/>
    <w:basedOn w:val="1"/>
    <w:qFormat/>
    <w:uiPriority w:val="0"/>
    <w:pPr>
      <w:spacing w:before="100" w:beforeLines="100"/>
      <w:jc w:val="center"/>
    </w:pPr>
    <w:rPr>
      <w:rFonts w:eastAsia="楷体"/>
      <w:sz w:val="24"/>
    </w:rPr>
  </w:style>
  <w:style w:type="paragraph" w:customStyle="1" w:styleId="23">
    <w:name w:val="Default"/>
    <w:basedOn w:val="24"/>
    <w:next w:val="25"/>
    <w:qFormat/>
    <w:uiPriority w:val="99"/>
    <w:pPr>
      <w:tabs>
        <w:tab w:val="left" w:pos="0"/>
      </w:tabs>
      <w:autoSpaceDE w:val="0"/>
      <w:autoSpaceDN w:val="0"/>
      <w:adjustRightInd w:val="0"/>
    </w:pPr>
    <w:rPr>
      <w:color w:val="000000"/>
      <w:sz w:val="24"/>
    </w:rPr>
  </w:style>
  <w:style w:type="paragraph" w:customStyle="1" w:styleId="24">
    <w:name w:val="标题2"/>
    <w:basedOn w:val="6"/>
    <w:qFormat/>
    <w:uiPriority w:val="0"/>
    <w:pPr>
      <w:tabs>
        <w:tab w:val="left" w:pos="0"/>
      </w:tabs>
      <w:spacing w:line="440" w:lineRule="exact"/>
      <w:ind w:left="1560"/>
    </w:pPr>
    <w:rPr>
      <w:sz w:val="28"/>
    </w:rPr>
  </w:style>
  <w:style w:type="paragraph" w:customStyle="1" w:styleId="25">
    <w:name w:val="样式3"/>
    <w:basedOn w:val="13"/>
    <w:next w:val="26"/>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6">
    <w:name w:val="目录 53"/>
    <w:basedOn w:val="1"/>
    <w:next w:val="1"/>
    <w:qFormat/>
    <w:uiPriority w:val="0"/>
    <w:pPr>
      <w:ind w:left="840"/>
    </w:pPr>
    <w:rPr>
      <w:rFonts w:cs="宋体"/>
      <w:color w:val="000000"/>
    </w:rPr>
  </w:style>
  <w:style w:type="paragraph" w:customStyle="1" w:styleId="27">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8">
    <w:name w:val="标题 1 Char"/>
    <w:link w:val="5"/>
    <w:qFormat/>
    <w:uiPriority w:val="0"/>
    <w:rPr>
      <w:b/>
      <w:bCs/>
      <w:kern w:val="44"/>
      <w:sz w:val="44"/>
      <w:szCs w:val="44"/>
    </w:rPr>
  </w:style>
  <w:style w:type="character" w:customStyle="1" w:styleId="29">
    <w:name w:val="标题 2 Char"/>
    <w:link w:val="6"/>
    <w:qFormat/>
    <w:locked/>
    <w:uiPriority w:val="0"/>
    <w:rPr>
      <w:rFonts w:ascii="宋体" w:hAnsi="宋体" w:eastAsia="宋体" w:cs="宋体"/>
      <w:b/>
      <w:bCs/>
      <w:sz w:val="36"/>
      <w:szCs w:val="36"/>
      <w:lang w:val="en-US" w:eastAsia="zh-CN" w:bidi="ar-SA"/>
    </w:rPr>
  </w:style>
  <w:style w:type="character" w:customStyle="1" w:styleId="30">
    <w:name w:val="正文缩进 Char"/>
    <w:link w:val="2"/>
    <w:qFormat/>
    <w:locked/>
    <w:uiPriority w:val="0"/>
    <w:rPr>
      <w:rFonts w:eastAsia="宋体"/>
      <w:sz w:val="24"/>
      <w:lang w:bidi="ar-SA"/>
    </w:rPr>
  </w:style>
  <w:style w:type="character" w:customStyle="1" w:styleId="31">
    <w:name w:val="批注文字 Char"/>
    <w:basedOn w:val="17"/>
    <w:link w:val="7"/>
    <w:qFormat/>
    <w:locked/>
    <w:uiPriority w:val="0"/>
    <w:rPr>
      <w:rFonts w:eastAsia="宋体"/>
      <w:kern w:val="2"/>
      <w:sz w:val="21"/>
      <w:szCs w:val="21"/>
      <w:lang w:val="en-US" w:eastAsia="zh-CN" w:bidi="ar-SA"/>
    </w:rPr>
  </w:style>
  <w:style w:type="character" w:customStyle="1" w:styleId="32">
    <w:name w:val="日期 Char"/>
    <w:link w:val="9"/>
    <w:semiHidden/>
    <w:qFormat/>
    <w:locked/>
    <w:uiPriority w:val="0"/>
    <w:rPr>
      <w:rFonts w:cs="Times New Roman"/>
      <w:kern w:val="2"/>
      <w:sz w:val="24"/>
      <w:szCs w:val="24"/>
    </w:rPr>
  </w:style>
  <w:style w:type="character" w:customStyle="1" w:styleId="33">
    <w:name w:val="正文文本缩进 2 Char"/>
    <w:basedOn w:val="17"/>
    <w:link w:val="10"/>
    <w:qFormat/>
    <w:locked/>
    <w:uiPriority w:val="0"/>
    <w:rPr>
      <w:rFonts w:eastAsia="方正仿宋_GBK"/>
      <w:kern w:val="2"/>
      <w:sz w:val="21"/>
      <w:szCs w:val="24"/>
      <w:lang w:val="en-US" w:eastAsia="zh-CN" w:bidi="ar-SA"/>
    </w:rPr>
  </w:style>
  <w:style w:type="character" w:customStyle="1" w:styleId="34">
    <w:name w:val="页脚 Char1"/>
    <w:link w:val="11"/>
    <w:qFormat/>
    <w:locked/>
    <w:uiPriority w:val="0"/>
    <w:rPr>
      <w:kern w:val="2"/>
      <w:sz w:val="18"/>
    </w:rPr>
  </w:style>
  <w:style w:type="character" w:customStyle="1" w:styleId="35">
    <w:name w:val="页眉 Char"/>
    <w:link w:val="12"/>
    <w:qFormat/>
    <w:locked/>
    <w:uiPriority w:val="0"/>
    <w:rPr>
      <w:rFonts w:cs="Times New Roman"/>
      <w:kern w:val="2"/>
      <w:sz w:val="18"/>
    </w:rPr>
  </w:style>
  <w:style w:type="character" w:customStyle="1" w:styleId="36">
    <w:name w:val="font12"/>
    <w:qFormat/>
    <w:uiPriority w:val="0"/>
    <w:rPr>
      <w:rFonts w:ascii="宋体" w:hAnsi="宋体" w:eastAsia="宋体" w:cs="宋体"/>
      <w:color w:val="000000"/>
      <w:sz w:val="22"/>
      <w:szCs w:val="22"/>
      <w:u w:val="none"/>
    </w:rPr>
  </w:style>
  <w:style w:type="character" w:customStyle="1" w:styleId="37">
    <w:name w:val="font101"/>
    <w:qFormat/>
    <w:uiPriority w:val="0"/>
    <w:rPr>
      <w:rFonts w:ascii="Times New Roman" w:hAnsi="Times New Roman" w:cs="Times New Roman"/>
      <w:color w:val="000000"/>
      <w:sz w:val="18"/>
      <w:szCs w:val="18"/>
      <w:u w:val="none"/>
    </w:rPr>
  </w:style>
  <w:style w:type="character" w:customStyle="1" w:styleId="38">
    <w:name w:val="Footer Char"/>
    <w:qFormat/>
    <w:locked/>
    <w:uiPriority w:val="0"/>
    <w:rPr>
      <w:rFonts w:cs="Times New Roman"/>
      <w:sz w:val="18"/>
      <w:szCs w:val="18"/>
    </w:rPr>
  </w:style>
  <w:style w:type="character" w:customStyle="1" w:styleId="39">
    <w:name w:val="font111"/>
    <w:qFormat/>
    <w:uiPriority w:val="0"/>
    <w:rPr>
      <w:rFonts w:ascii="Times New Roman" w:hAnsi="Times New Roman" w:cs="Times New Roman"/>
      <w:color w:val="000000"/>
      <w:sz w:val="22"/>
      <w:szCs w:val="22"/>
      <w:u w:val="none"/>
    </w:rPr>
  </w:style>
  <w:style w:type="character" w:customStyle="1" w:styleId="40">
    <w:name w:val="font151"/>
    <w:qFormat/>
    <w:uiPriority w:val="0"/>
    <w:rPr>
      <w:rFonts w:ascii="宋体" w:hAnsi="宋体" w:eastAsia="宋体" w:cs="宋体"/>
      <w:color w:val="000000"/>
      <w:sz w:val="21"/>
      <w:szCs w:val="21"/>
      <w:u w:val="none"/>
    </w:rPr>
  </w:style>
  <w:style w:type="character" w:customStyle="1" w:styleId="41">
    <w:name w:val="font61"/>
    <w:qFormat/>
    <w:uiPriority w:val="0"/>
    <w:rPr>
      <w:rFonts w:ascii="宋体" w:hAnsi="宋体" w:eastAsia="宋体" w:cs="宋体"/>
      <w:color w:val="000000"/>
      <w:sz w:val="18"/>
      <w:szCs w:val="18"/>
      <w:u w:val="none"/>
    </w:rPr>
  </w:style>
  <w:style w:type="paragraph" w:customStyle="1" w:styleId="42">
    <w:name w:val="Char"/>
    <w:basedOn w:val="1"/>
    <w:qFormat/>
    <w:uiPriority w:val="0"/>
    <w:pPr>
      <w:tabs>
        <w:tab w:val="left" w:pos="0"/>
      </w:tabs>
    </w:pPr>
  </w:style>
  <w:style w:type="paragraph" w:customStyle="1" w:styleId="43">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4">
    <w:name w:val="_Style 33"/>
    <w:basedOn w:val="1"/>
    <w:qFormat/>
    <w:uiPriority w:val="0"/>
    <w:pPr>
      <w:spacing w:line="360" w:lineRule="auto"/>
      <w:ind w:firstLine="200" w:firstLineChars="200"/>
    </w:pPr>
    <w:rPr>
      <w:rFonts w:ascii="宋体" w:hAnsi="宋体" w:cs="宋体"/>
      <w:sz w:val="24"/>
      <w:szCs w:val="20"/>
    </w:rPr>
  </w:style>
  <w:style w:type="paragraph" w:customStyle="1" w:styleId="45">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6">
    <w:name w:val="List Paragraph"/>
    <w:basedOn w:val="1"/>
    <w:qFormat/>
    <w:uiPriority w:val="34"/>
    <w:pPr>
      <w:ind w:firstLine="420" w:firstLineChars="200"/>
    </w:pPr>
  </w:style>
  <w:style w:type="paragraph" w:customStyle="1" w:styleId="47">
    <w:name w:val="Char Char Char Char Char Char Char"/>
    <w:basedOn w:val="1"/>
    <w:qFormat/>
    <w:uiPriority w:val="0"/>
  </w:style>
  <w:style w:type="paragraph" w:customStyle="1" w:styleId="48">
    <w:name w:val="Char1"/>
    <w:basedOn w:val="1"/>
    <w:qFormat/>
    <w:uiPriority w:val="0"/>
  </w:style>
  <w:style w:type="paragraph" w:customStyle="1" w:styleId="49">
    <w:name w:val="列出段落1"/>
    <w:basedOn w:val="1"/>
    <w:qFormat/>
    <w:uiPriority w:val="0"/>
    <w:pPr>
      <w:ind w:firstLine="420" w:firstLineChars="200"/>
    </w:pPr>
    <w:rPr>
      <w:rFonts w:ascii="Calibri" w:hAnsi="Calibri"/>
      <w:szCs w:val="22"/>
    </w:rPr>
  </w:style>
  <w:style w:type="character" w:customStyle="1" w:styleId="50">
    <w:name w:val="apple-converted-space"/>
    <w:qFormat/>
    <w:uiPriority w:val="0"/>
    <w:rPr>
      <w:rFonts w:cs="Times New Roman"/>
    </w:rPr>
  </w:style>
  <w:style w:type="character" w:customStyle="1" w:styleId="51">
    <w:name w:val="NormalCharacter"/>
    <w:semiHidden/>
    <w:qFormat/>
    <w:uiPriority w:val="0"/>
  </w:style>
  <w:style w:type="paragraph" w:customStyle="1" w:styleId="52">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3">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4">
    <w:name w:val="p0"/>
    <w:basedOn w:val="1"/>
    <w:qFormat/>
    <w:uiPriority w:val="0"/>
    <w:pPr>
      <w:widowControl/>
      <w:spacing w:line="365" w:lineRule="atLeast"/>
      <w:ind w:left="1"/>
    </w:pPr>
    <w:rPr>
      <w:rFonts w:ascii="Calibri" w:hAnsi="Calibri"/>
      <w:kern w:val="0"/>
      <w:sz w:val="20"/>
      <w:szCs w:val="20"/>
    </w:rPr>
  </w:style>
  <w:style w:type="character" w:customStyle="1" w:styleId="55">
    <w:name w:val="font11"/>
    <w:qFormat/>
    <w:uiPriority w:val="0"/>
    <w:rPr>
      <w:rFonts w:hint="eastAsia" w:ascii="仿宋_GB2312" w:eastAsia="仿宋_GB2312" w:cs="仿宋_GB2312"/>
      <w:color w:val="000000"/>
      <w:sz w:val="24"/>
      <w:szCs w:val="24"/>
      <w:u w:val="none"/>
      <w:vertAlign w:val="superscript"/>
    </w:rPr>
  </w:style>
  <w:style w:type="character" w:customStyle="1" w:styleId="56">
    <w:name w:val="font41"/>
    <w:qFormat/>
    <w:uiPriority w:val="0"/>
    <w:rPr>
      <w:rFonts w:hint="eastAsia" w:ascii="宋体" w:hAnsi="宋体" w:eastAsia="宋体" w:cs="宋体"/>
      <w:color w:val="000000"/>
      <w:sz w:val="24"/>
      <w:szCs w:val="24"/>
      <w:u w:val="none"/>
    </w:rPr>
  </w:style>
  <w:style w:type="character" w:customStyle="1" w:styleId="57">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8">
    <w:name w:val="font31"/>
    <w:qFormat/>
    <w:uiPriority w:val="0"/>
    <w:rPr>
      <w:rFonts w:hint="eastAsia" w:ascii="仿宋_GB2312" w:eastAsia="仿宋_GB2312" w:cs="仿宋_GB2312"/>
      <w:color w:val="000000"/>
      <w:sz w:val="24"/>
      <w:szCs w:val="24"/>
      <w:u w:val="none"/>
    </w:rPr>
  </w:style>
  <w:style w:type="character" w:customStyle="1" w:styleId="59">
    <w:name w:val="Char Char1"/>
    <w:qFormat/>
    <w:uiPriority w:val="0"/>
    <w:rPr>
      <w:sz w:val="18"/>
      <w:szCs w:val="18"/>
    </w:rPr>
  </w:style>
  <w:style w:type="character" w:customStyle="1" w:styleId="60">
    <w:name w:val="页脚 Char"/>
    <w:basedOn w:val="17"/>
    <w:qFormat/>
    <w:uiPriority w:val="99"/>
    <w:rPr>
      <w:sz w:val="18"/>
      <w:szCs w:val="18"/>
    </w:rPr>
  </w:style>
  <w:style w:type="paragraph" w:customStyle="1" w:styleId="61">
    <w:name w:val="Char2"/>
    <w:basedOn w:val="1"/>
    <w:qFormat/>
    <w:uiPriority w:val="0"/>
    <w:pPr>
      <w:tabs>
        <w:tab w:val="left" w:pos="0"/>
      </w:tabs>
    </w:pPr>
  </w:style>
  <w:style w:type="paragraph" w:customStyle="1" w:styleId="62">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3">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4">
    <w:name w:val="Header Char"/>
    <w:basedOn w:val="17"/>
    <w:qFormat/>
    <w:locked/>
    <w:uiPriority w:val="0"/>
    <w:rPr>
      <w:rFonts w:cs="Times New Roman"/>
      <w:sz w:val="18"/>
      <w:szCs w:val="18"/>
    </w:rPr>
  </w:style>
  <w:style w:type="paragraph" w:customStyle="1" w:styleId="65">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6">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7">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8">
    <w:name w:val="表内文字1"/>
    <w:basedOn w:val="1"/>
    <w:qFormat/>
    <w:uiPriority w:val="0"/>
    <w:pPr>
      <w:adjustRightInd w:val="0"/>
      <w:snapToGrid w:val="0"/>
      <w:jc w:val="center"/>
    </w:pPr>
    <w:rPr>
      <w:snapToGrid w:val="0"/>
      <w:kern w:val="0"/>
      <w:szCs w:val="20"/>
    </w:rPr>
  </w:style>
  <w:style w:type="character" w:customStyle="1" w:styleId="69">
    <w:name w:val="15"/>
    <w:qFormat/>
    <w:uiPriority w:val="0"/>
    <w:rPr>
      <w:rFonts w:hint="default" w:ascii="Times New Roman" w:hAnsi="Times New Roman" w:eastAsia="宋体" w:cs="Times New Roman"/>
      <w:color w:val="0000FF"/>
      <w:u w:val="single"/>
    </w:rPr>
  </w:style>
  <w:style w:type="paragraph" w:customStyle="1" w:styleId="70">
    <w:name w:val="正文（公文）"/>
    <w:basedOn w:val="1"/>
    <w:qFormat/>
    <w:uiPriority w:val="0"/>
    <w:pPr>
      <w:spacing w:line="580" w:lineRule="exact"/>
      <w:ind w:firstLine="420"/>
    </w:pPr>
    <w:rPr>
      <w:rFonts w:ascii="Calibri" w:hAnsi="Calibri" w:eastAsia="方正仿宋_GBK"/>
      <w:sz w:val="32"/>
    </w:rPr>
  </w:style>
  <w:style w:type="paragraph" w:customStyle="1" w:styleId="71">
    <w:name w:val="Char Char2"/>
    <w:basedOn w:val="1"/>
    <w:qFormat/>
    <w:uiPriority w:val="0"/>
    <w:pPr>
      <w:tabs>
        <w:tab w:val="left" w:pos="0"/>
      </w:tabs>
    </w:pPr>
  </w:style>
  <w:style w:type="paragraph" w:customStyle="1" w:styleId="72">
    <w:name w:val="文华表正文"/>
    <w:basedOn w:val="73"/>
    <w:qFormat/>
    <w:uiPriority w:val="0"/>
    <w:pPr>
      <w:ind w:firstLine="480"/>
    </w:pPr>
    <w:rPr>
      <w:rFonts w:hAnsi="宋体"/>
    </w:rPr>
  </w:style>
  <w:style w:type="paragraph" w:customStyle="1" w:styleId="73">
    <w:name w:val="报告表正文"/>
    <w:basedOn w:val="1"/>
    <w:qFormat/>
    <w:uiPriority w:val="0"/>
    <w:pPr>
      <w:spacing w:line="360" w:lineRule="auto"/>
      <w:ind w:firstLine="200" w:firstLineChars="200"/>
    </w:pPr>
    <w:rPr>
      <w:sz w:val="24"/>
    </w:rPr>
  </w:style>
  <w:style w:type="table" w:customStyle="1" w:styleId="74">
    <w:name w:val="网格型1"/>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1</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2026-01-06T03:41:00Z</cp:lastPrinted>
  <dcterms:modified xsi:type="dcterms:W3CDTF">2026-02-06T08:02:05Z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