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eastAsia="方正小标宋_GBK"/>
          <w:color w:val="000000" w:themeColor="text1"/>
          <w:sz w:val="44"/>
          <w:szCs w:val="44"/>
        </w:rPr>
      </w:pPr>
      <w:r>
        <w:rPr>
          <w:rFonts w:eastAsia="仿宋_GB2312"/>
          <w:color w:val="000000" w:themeColor="text1"/>
          <w:sz w:val="32"/>
          <w:szCs w:val="32"/>
        </w:rPr>
        <w:t>黄环建函〔202</w:t>
      </w:r>
      <w:r>
        <w:rPr>
          <w:rFonts w:hint="eastAsia" w:eastAsia="仿宋_GB2312"/>
          <w:color w:val="000000" w:themeColor="text1"/>
          <w:sz w:val="32"/>
          <w:szCs w:val="32"/>
          <w:lang w:val="en-US" w:eastAsia="zh-CN"/>
        </w:rPr>
        <w:t>6</w:t>
      </w:r>
      <w:r>
        <w:rPr>
          <w:rFonts w:eastAsia="仿宋_GB2312"/>
          <w:color w:val="000000" w:themeColor="text1"/>
          <w:sz w:val="32"/>
          <w:szCs w:val="32"/>
        </w:rPr>
        <w:t>〕1号</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关于</w:t>
      </w:r>
      <w:r>
        <w:rPr>
          <w:rFonts w:hint="default" w:ascii="Times New Roman" w:hAnsi="Times New Roman" w:eastAsia="方正小标宋简体" w:cs="Times New Roman"/>
          <w:spacing w:val="-11"/>
          <w:sz w:val="44"/>
          <w:szCs w:val="44"/>
          <w:lang w:eastAsia="zh-CN"/>
        </w:rPr>
        <w:t>安徽冠鑫特种电缆有限公司年产</w:t>
      </w:r>
      <w:r>
        <w:rPr>
          <w:rFonts w:hint="default" w:ascii="Times New Roman" w:hAnsi="Times New Roman" w:eastAsia="方正小标宋简体" w:cs="Times New Roman"/>
          <w:spacing w:val="-11"/>
          <w:sz w:val="44"/>
          <w:szCs w:val="44"/>
          <w:lang w:val="en-US" w:eastAsia="zh-CN"/>
        </w:rPr>
        <w:t>200万米高性能防火电缆项目</w:t>
      </w:r>
      <w:r>
        <w:rPr>
          <w:rFonts w:hint="default" w:ascii="Times New Roman" w:hAnsi="Times New Roman" w:eastAsia="方正小标宋简体" w:cs="Times New Roman"/>
          <w:spacing w:val="-11"/>
          <w:sz w:val="44"/>
          <w:szCs w:val="44"/>
        </w:rPr>
        <w:t>环境影响</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报告表的批复</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安徽冠鑫特种电缆有限公司</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你单位报送的</w:t>
      </w:r>
      <w:r>
        <w:rPr>
          <w:rFonts w:hint="default" w:ascii="Times New Roman" w:hAnsi="Times New Roman" w:eastAsia="仿宋_GB2312" w:cs="Times New Roman"/>
          <w:bCs/>
          <w:sz w:val="32"/>
          <w:szCs w:val="32"/>
          <w:lang w:val="en-US" w:eastAsia="zh-CN"/>
        </w:rPr>
        <w:t>《年产200万米高性能防火电缆项目环境影响报告表》（以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0"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keepNext w:val="0"/>
        <w:keepLines w:val="0"/>
        <w:pageBreakBefore w:val="0"/>
        <w:widowControl w:val="0"/>
        <w:kinsoku/>
        <w:overflowPunct/>
        <w:topLinePunct w:val="0"/>
        <w:autoSpaceDE/>
        <w:autoSpaceDN/>
        <w:bidi w:val="0"/>
        <w:adjustRightInd w:val="0"/>
        <w:snapToGrid w:val="0"/>
        <w:spacing w:line="580" w:lineRule="exact"/>
        <w:ind w:firstLine="64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bCs/>
          <w:sz w:val="32"/>
          <w:szCs w:val="32"/>
          <w:lang w:eastAsia="zh-CN"/>
        </w:rPr>
        <w:t>本项目</w:t>
      </w:r>
      <w:r>
        <w:rPr>
          <w:rFonts w:hint="default" w:ascii="Times New Roman" w:hAnsi="Times New Roman" w:eastAsia="仿宋_GB2312" w:cs="Times New Roman"/>
          <w:bCs/>
          <w:sz w:val="32"/>
          <w:szCs w:val="32"/>
        </w:rPr>
        <w:t>位于黄山高新技术产业开发区飞龙路 5 号</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项目</w:t>
      </w:r>
      <w:r>
        <w:rPr>
          <w:rFonts w:hint="default" w:ascii="Times New Roman" w:hAnsi="Times New Roman" w:eastAsia="仿宋_GB2312" w:cs="Times New Roman"/>
          <w:bCs/>
          <w:sz w:val="32"/>
          <w:szCs w:val="32"/>
          <w:lang w:eastAsia="zh-CN"/>
        </w:rPr>
        <w:t>占</w:t>
      </w:r>
      <w:r>
        <w:rPr>
          <w:rFonts w:hint="default" w:ascii="Times New Roman" w:hAnsi="Times New Roman" w:eastAsia="仿宋_GB2312" w:cs="Times New Roman"/>
          <w:bCs/>
          <w:sz w:val="32"/>
          <w:szCs w:val="32"/>
        </w:rPr>
        <w:t>地11.67 亩,总建筑面积为 6909.13㎡,项目总投资 11000 万元,建设内容包括 1#生产厂房、2#研发车间及门卫室,同时购置拉丝退火机、框绞机、管绞机、挤出机、成缆机、绕包机等主要生产设备,并配套建设给排水、变配电、环保、消防等辅助设施</w:t>
      </w:r>
      <w:r>
        <w:rPr>
          <w:rFonts w:hint="default" w:ascii="Times New Roman" w:hAnsi="Times New Roman" w:eastAsia="仿宋_GB2312" w:cs="Times New Roman"/>
          <w:bCs/>
          <w:sz w:val="32"/>
          <w:szCs w:val="32"/>
          <w:lang w:eastAsia="zh-CN"/>
        </w:rPr>
        <w:t>，项目建设完成后可形成年产 200 万米高性能防火电缆的生产能力。</w:t>
      </w:r>
    </w:p>
    <w:p>
      <w:pPr>
        <w:keepNext w:val="0"/>
        <w:keepLines w:val="0"/>
        <w:pageBreakBefore w:val="0"/>
        <w:widowControl w:val="0"/>
        <w:numPr>
          <w:ilvl w:val="0"/>
          <w:numId w:val="0"/>
        </w:numPr>
        <w:kinsoku/>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8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5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580" w:lineRule="exact"/>
        <w:ind w:right="-34" w:firstLine="640" w:firstLineChars="200"/>
        <w:textAlignment w:val="auto"/>
        <w:rPr>
          <w:rFonts w:hint="default" w:ascii="Times New Roman" w:hAnsi="Times New Roman" w:eastAsia="仿宋_GB2312" w:cs="Times New Roman"/>
          <w:bCs/>
          <w:sz w:val="32"/>
          <w:szCs w:val="32"/>
        </w:rPr>
      </w:pPr>
    </w:p>
    <w:p>
      <w:pPr>
        <w:pStyle w:val="3"/>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spacing w:line="580" w:lineRule="exact"/>
        <w:ind w:right="-34"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kern w:val="24"/>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日   </w:t>
      </w:r>
      <w:r>
        <w:rPr>
          <w:rFonts w:hint="default" w:ascii="Times New Roman" w:hAnsi="Times New Roman" w:eastAsia="方正仿宋_GBK" w:cs="Times New Roman"/>
          <w:sz w:val="32"/>
          <w:szCs w:val="32"/>
        </w:rPr>
        <w:t xml:space="preserve"> </w:t>
      </w:r>
    </w:p>
    <w:p>
      <w:pPr>
        <w:rPr>
          <w:rFonts w:hint="default" w:ascii="Times New Roman" w:hAnsi="Times New Roman" w:eastAsia="仿宋_GB2312" w:cs="Times New Roma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wordWrap w:val="0"/>
        <w:spacing w:line="540" w:lineRule="exact"/>
        <w:ind w:firstLine="640" w:firstLineChars="200"/>
        <w:jc w:val="right"/>
        <w:rPr>
          <w:rFonts w:eastAsia="仿宋_GB2312"/>
          <w:sz w:val="32"/>
        </w:rPr>
      </w:pPr>
      <w:r>
        <w:rPr>
          <w:rFonts w:eastAsia="仿宋_GB2312"/>
          <w:sz w:val="32"/>
        </w:rPr>
        <w:t xml:space="preserve">  </w:t>
      </w:r>
    </w:p>
    <w:p>
      <w:pPr>
        <w:widowControl/>
        <w:adjustRightInd w:val="0"/>
        <w:snapToGrid w:val="0"/>
        <w:spacing w:line="560" w:lineRule="exact"/>
        <w:ind w:firstLine="570"/>
        <w:rPr>
          <w:rFonts w:eastAsia="仿宋_GB2312"/>
          <w:sz w:val="32"/>
          <w:szCs w:val="32"/>
        </w:rPr>
      </w:pPr>
    </w:p>
    <w:p>
      <w:pPr>
        <w:widowControl/>
        <w:adjustRightInd w:val="0"/>
        <w:snapToGrid w:val="0"/>
        <w:spacing w:line="560" w:lineRule="exact"/>
        <w:ind w:firstLine="570"/>
        <w:rPr>
          <w:rFonts w:hint="eastAsia" w:eastAsia="仿宋_GB2312"/>
          <w:sz w:val="32"/>
          <w:szCs w:val="32"/>
        </w:rPr>
      </w:pPr>
    </w:p>
    <w:p>
      <w:pPr>
        <w:pStyle w:val="2"/>
        <w:ind w:firstLine="480"/>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72"/>
        <w:tblpPr w:leftFromText="180" w:rightFromText="180" w:vertAnchor="text" w:horzAnchor="page" w:tblpX="2096" w:tblpY="1183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kinsoku/>
              <w:wordWrap/>
              <w:overflowPunct/>
              <w:topLinePunct w:val="0"/>
              <w:autoSpaceDE/>
              <w:autoSpaceDN/>
              <w:bidi w:val="0"/>
              <w:snapToGrid/>
              <w:spacing w:line="400" w:lineRule="exact"/>
              <w:ind w:left="1075" w:leftChars="132" w:hanging="798" w:hangingChars="285"/>
              <w:textAlignment w:val="auto"/>
              <w:rPr>
                <w:rFonts w:hint="eastAsia" w:ascii="Times New Roman" w:hAnsi="Times New Roman" w:eastAsia="仿宋_GB2312"/>
                <w:sz w:val="28"/>
                <w:szCs w:val="28"/>
                <w:lang w:eastAsia="zh-CN"/>
              </w:rPr>
            </w:pPr>
            <w:r>
              <w:rPr>
                <w:rFonts w:ascii="Times New Roman" w:hAnsi="Times New Roman" w:eastAsia="仿宋_GB2312"/>
                <w:sz w:val="28"/>
                <w:szCs w:val="28"/>
              </w:rPr>
              <w:t>抄送：</w:t>
            </w:r>
            <w:r>
              <w:rPr>
                <w:rFonts w:hint="default" w:ascii="Times New Roman" w:hAnsi="Times New Roman" w:eastAsia="仿宋_GB2312" w:cs="Times New Roman"/>
                <w:sz w:val="28"/>
                <w:szCs w:val="28"/>
                <w:lang w:val="en" w:eastAsia="zh-CN"/>
              </w:rPr>
              <w:t>市生态环境保护综合行政执法支队，浙江环耀环境建设有限</w:t>
            </w:r>
            <w:bookmarkStart w:id="1" w:name="_GoBack"/>
            <w:bookmarkEnd w:id="1"/>
            <w:r>
              <w:rPr>
                <w:rFonts w:hint="default" w:ascii="Times New Roman" w:hAnsi="Times New Roman" w:eastAsia="仿宋_GB2312" w:cs="Times New Roman"/>
                <w:sz w:val="28"/>
                <w:szCs w:val="28"/>
                <w:lang w:val="en" w:eastAsia="zh-CN"/>
              </w:rPr>
              <w:t>公司</w:t>
            </w:r>
            <w:r>
              <w:rPr>
                <w:rFonts w:hint="eastAsia" w:eastAsia="仿宋_GB2312" w:cs="Times New Roman"/>
                <w:sz w:val="28"/>
                <w:szCs w:val="28"/>
                <w:lang w:val="en"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8" w:type="dxa"/>
            <w:vAlign w:val="top"/>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imes New Roman" w:hAnsi="Times New Roman" w:eastAsia="仿宋_GB2312"/>
                <w:sz w:val="28"/>
                <w:szCs w:val="28"/>
              </w:rPr>
            </w:pPr>
            <w:r>
              <w:rPr>
                <w:rFonts w:ascii="Times New Roman" w:hAnsi="Times New Roman" w:eastAsia="仿宋_GB2312"/>
                <w:sz w:val="28"/>
                <w:szCs w:val="28"/>
              </w:rPr>
              <w:t xml:space="preserve">  黄山市生态环境局                 </w:t>
            </w:r>
            <w:r>
              <w:rPr>
                <w:rFonts w:hint="eastAsia"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eastAsia="仿宋_GB2312"/>
                <w:sz w:val="28"/>
                <w:szCs w:val="28"/>
                <w:lang w:val="en-US" w:eastAsia="zh-CN"/>
              </w:rPr>
              <w:t>6</w:t>
            </w:r>
            <w:r>
              <w:rPr>
                <w:rFonts w:ascii="Times New Roman" w:hAnsi="Times New Roman" w:eastAsia="仿宋_GB2312"/>
                <w:sz w:val="28"/>
                <w:szCs w:val="28"/>
              </w:rPr>
              <w:t>年</w:t>
            </w:r>
            <w:r>
              <w:rPr>
                <w:rFonts w:ascii="Times New Roman" w:hAnsi="Times New Roman" w:eastAsia="仿宋_GB2312"/>
                <w:sz w:val="28"/>
                <w:szCs w:val="28"/>
                <w:lang w:val="en"/>
              </w:rPr>
              <w:t>1</w:t>
            </w:r>
            <w:r>
              <w:rPr>
                <w:rFonts w:ascii="Times New Roman" w:hAnsi="Times New Roman" w:eastAsia="仿宋_GB2312"/>
                <w:sz w:val="28"/>
                <w:szCs w:val="28"/>
              </w:rPr>
              <w:t>月</w:t>
            </w:r>
            <w:r>
              <w:rPr>
                <w:rFonts w:ascii="Times New Roman" w:hAnsi="Times New Roman" w:eastAsia="仿宋_GB2312"/>
                <w:sz w:val="28"/>
                <w:szCs w:val="28"/>
                <w:lang w:val="en"/>
              </w:rPr>
              <w:t>6</w:t>
            </w:r>
            <w:r>
              <w:rPr>
                <w:rFonts w:ascii="Times New Roman" w:hAnsi="Times New Roman" w:eastAsia="仿宋_GB2312"/>
                <w:sz w:val="28"/>
                <w:szCs w:val="28"/>
              </w:rPr>
              <w:t>日印发</w:t>
            </w:r>
          </w:p>
        </w:tc>
      </w:tr>
    </w:tbl>
    <w:p>
      <w:pPr>
        <w:pStyle w:val="3"/>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04B72"/>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2026-01-06T03:41:25Z</cp:lastPrinted>
  <dcterms:modified xsi:type="dcterms:W3CDTF">2026-01-06T03:41:29Z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