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76" w:beforeLines="1050" w:after="624" w:afterLines="200" w:line="560" w:lineRule="exact"/>
        <w:ind w:right="-334" w:rightChars="-159"/>
        <w:jc w:val="center"/>
        <w:rPr>
          <w:rFonts w:hint="default" w:ascii="Times New Roman" w:hAnsi="Times New Roman" w:eastAsia="方正小标宋_GBK" w:cs="Times New Roman"/>
          <w:color w:val="auto"/>
          <w:sz w:val="44"/>
          <w:szCs w:val="44"/>
        </w:rPr>
      </w:pPr>
      <w:r>
        <w:rPr>
          <w:rFonts w:hint="default" w:ascii="Times New Roman" w:hAnsi="Times New Roman" w:eastAsia="仿宋_GB2312" w:cs="Times New Roman"/>
          <w:color w:val="auto"/>
          <w:sz w:val="32"/>
          <w:szCs w:val="32"/>
        </w:rPr>
        <w:t>黄环建函〔202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eastAsia="方正小标宋_GBK"/>
          <w:color w:val="auto"/>
          <w:sz w:val="44"/>
          <w:szCs w:val="44"/>
          <w:lang w:val="en-US" w:eastAsia="zh-CN"/>
        </w:rPr>
      </w:pPr>
      <w:r>
        <w:rPr>
          <w:rFonts w:hint="eastAsia" w:eastAsia="方正小标宋_GBK"/>
          <w:color w:val="auto"/>
          <w:sz w:val="44"/>
          <w:szCs w:val="44"/>
        </w:rPr>
        <w:t>关于</w:t>
      </w:r>
      <w:r>
        <w:rPr>
          <w:rFonts w:hint="eastAsia" w:eastAsia="方正小标宋_GBK"/>
          <w:color w:val="auto"/>
          <w:sz w:val="44"/>
          <w:szCs w:val="44"/>
          <w:lang w:val="en-US" w:eastAsia="zh-CN"/>
        </w:rPr>
        <w:t>黄山聚农新能源科技有限公司年处理15万吨农林固废炭汽肥多联产循环利用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eastAsia="方正小标宋_GBK"/>
          <w:color w:val="auto"/>
          <w:sz w:val="44"/>
          <w:szCs w:val="44"/>
        </w:rPr>
      </w:pPr>
      <w:r>
        <w:rPr>
          <w:rFonts w:hint="eastAsia" w:eastAsia="方正小标宋_GBK"/>
          <w:color w:val="auto"/>
          <w:sz w:val="44"/>
          <w:szCs w:val="44"/>
          <w:lang w:val="en-US" w:eastAsia="zh-CN"/>
        </w:rPr>
        <w:t>项目</w:t>
      </w:r>
      <w:r>
        <w:rPr>
          <w:rFonts w:hint="eastAsia" w:eastAsia="方正小标宋_GBK"/>
          <w:color w:val="auto"/>
          <w:sz w:val="44"/>
          <w:szCs w:val="44"/>
        </w:rPr>
        <w:t>环境影响报告书的批复</w:t>
      </w:r>
    </w:p>
    <w:p>
      <w:pPr>
        <w:keepNext w:val="0"/>
        <w:keepLines w:val="0"/>
        <w:pageBreakBefore w:val="0"/>
        <w:widowControl w:val="0"/>
        <w:kinsoku/>
        <w:wordWrap/>
        <w:overflowPunct/>
        <w:topLinePunct w:val="0"/>
        <w:autoSpaceDE/>
        <w:autoSpaceDN/>
        <w:bidi w:val="0"/>
        <w:adjustRightInd/>
        <w:spacing w:line="580" w:lineRule="exact"/>
        <w:textAlignment w:val="auto"/>
        <w:rPr>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pacing w:line="580" w:lineRule="exact"/>
        <w:textAlignment w:val="auto"/>
        <w:rPr>
          <w:rFonts w:eastAsia="仿宋_GB2312"/>
          <w:color w:val="auto"/>
          <w:sz w:val="32"/>
          <w:szCs w:val="32"/>
        </w:rPr>
      </w:pPr>
      <w:r>
        <w:rPr>
          <w:rFonts w:hint="eastAsia" w:eastAsia="仿宋_GB2312"/>
          <w:color w:val="auto"/>
          <w:sz w:val="32"/>
          <w:szCs w:val="32"/>
          <w:lang w:val="en-US" w:eastAsia="zh-CN"/>
        </w:rPr>
        <w:t>黄山聚农新能源科技</w:t>
      </w:r>
      <w:r>
        <w:rPr>
          <w:rFonts w:hint="eastAsia" w:eastAsia="仿宋_GB2312"/>
          <w:color w:val="auto"/>
          <w:sz w:val="32"/>
          <w:szCs w:val="32"/>
        </w:rPr>
        <w:t>有限公司</w:t>
      </w:r>
      <w:r>
        <w:rPr>
          <w:rFonts w:eastAsia="仿宋_GB2312"/>
          <w:color w:val="auto"/>
          <w:sz w:val="32"/>
          <w:szCs w:val="32"/>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eastAsia="仿宋_GB2312"/>
          <w:color w:val="auto"/>
          <w:sz w:val="32"/>
          <w:szCs w:val="32"/>
        </w:rPr>
      </w:pPr>
      <w:r>
        <w:rPr>
          <w:rFonts w:eastAsia="仿宋_GB2312"/>
          <w:color w:val="auto"/>
          <w:sz w:val="32"/>
          <w:szCs w:val="32"/>
        </w:rPr>
        <w:t>你公司报来的</w:t>
      </w:r>
      <w:r>
        <w:rPr>
          <w:rFonts w:hint="eastAsia" w:eastAsia="仿宋_GB2312"/>
          <w:color w:val="auto"/>
          <w:sz w:val="32"/>
          <w:szCs w:val="32"/>
        </w:rPr>
        <w:t>年处理15万吨农林固废炭汽肥多联产循环利用项目《行政许可申请书》</w:t>
      </w:r>
      <w:r>
        <w:rPr>
          <w:rFonts w:eastAsia="仿宋_GB2312"/>
          <w:color w:val="auto"/>
          <w:sz w:val="32"/>
          <w:szCs w:val="32"/>
        </w:rPr>
        <w:t>和</w:t>
      </w:r>
      <w:r>
        <w:rPr>
          <w:rFonts w:hint="eastAsia" w:eastAsia="仿宋_GB2312"/>
          <w:color w:val="auto"/>
          <w:sz w:val="32"/>
          <w:szCs w:val="32"/>
          <w:lang w:val="en-US" w:eastAsia="zh-CN"/>
        </w:rPr>
        <w:t>浙江环耀环境建设有限公司</w:t>
      </w:r>
      <w:r>
        <w:rPr>
          <w:rFonts w:eastAsia="仿宋_GB2312"/>
          <w:color w:val="auto"/>
          <w:sz w:val="32"/>
          <w:szCs w:val="32"/>
        </w:rPr>
        <w:t>编制的《</w:t>
      </w:r>
      <w:r>
        <w:rPr>
          <w:rFonts w:hint="eastAsia" w:eastAsia="仿宋_GB2312"/>
          <w:color w:val="auto"/>
          <w:sz w:val="32"/>
          <w:szCs w:val="32"/>
        </w:rPr>
        <w:t>黄山聚农新能源科技有限公司年处理15万吨农林固废炭汽肥多联产循环利用项目环境影响报告书</w:t>
      </w:r>
      <w:r>
        <w:rPr>
          <w:rFonts w:eastAsia="仿宋_GB2312"/>
          <w:color w:val="auto"/>
          <w:sz w:val="32"/>
          <w:szCs w:val="32"/>
        </w:rPr>
        <w:t>》</w:t>
      </w:r>
      <w:r>
        <w:rPr>
          <w:rFonts w:hint="eastAsia" w:eastAsia="仿宋_GB2312"/>
          <w:color w:val="auto"/>
          <w:sz w:val="32"/>
          <w:szCs w:val="32"/>
        </w:rPr>
        <w:t>（以下简称《报告书》）悉。经组织专家</w:t>
      </w:r>
      <w:r>
        <w:rPr>
          <w:rFonts w:hint="eastAsia" w:eastAsia="仿宋_GB2312"/>
          <w:color w:val="auto"/>
          <w:sz w:val="32"/>
          <w:szCs w:val="32"/>
          <w:lang w:eastAsia="zh-CN"/>
        </w:rPr>
        <w:t>技术</w:t>
      </w:r>
      <w:r>
        <w:rPr>
          <w:rFonts w:hint="eastAsia" w:eastAsia="仿宋_GB2312"/>
          <w:color w:val="auto"/>
          <w:sz w:val="32"/>
          <w:szCs w:val="32"/>
        </w:rPr>
        <w:t>评审，并在黄山市生态环境局网站公示，公众无异议。经研究，现对《报告书》批复如下：</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rPr>
      </w:pPr>
      <w:r>
        <w:rPr>
          <w:rFonts w:hint="eastAsia" w:eastAsia="仿宋_GB2312"/>
          <w:color w:val="auto"/>
          <w:sz w:val="32"/>
          <w:szCs w:val="32"/>
        </w:rPr>
        <w:t>一、项目拟在</w:t>
      </w:r>
      <w:r>
        <w:rPr>
          <w:rFonts w:hint="eastAsia" w:eastAsia="仿宋_GB2312"/>
          <w:color w:val="auto"/>
          <w:sz w:val="32"/>
          <w:szCs w:val="32"/>
          <w:lang w:val="en-US" w:eastAsia="zh-CN"/>
        </w:rPr>
        <w:t>安徽黄山太平经济开发区莲蕊路2号</w:t>
      </w:r>
      <w:r>
        <w:rPr>
          <w:rFonts w:hint="eastAsia" w:eastAsia="仿宋_GB2312"/>
          <w:color w:val="auto"/>
          <w:sz w:val="32"/>
          <w:szCs w:val="32"/>
        </w:rPr>
        <w:t>（东经118度7分29.38秒，北纬30度15分15.54秒）建设，占地面积</w:t>
      </w:r>
      <w:r>
        <w:rPr>
          <w:rFonts w:hint="eastAsia" w:eastAsia="仿宋_GB2312"/>
          <w:color w:val="auto"/>
          <w:sz w:val="32"/>
          <w:szCs w:val="32"/>
          <w:lang w:val="en-US" w:eastAsia="zh-CN"/>
        </w:rPr>
        <w:t>54164.16</w:t>
      </w:r>
      <w:r>
        <w:rPr>
          <w:rFonts w:eastAsia="仿宋_GB2312"/>
          <w:color w:val="auto"/>
          <w:sz w:val="32"/>
          <w:szCs w:val="32"/>
        </w:rPr>
        <w:t>m</w:t>
      </w:r>
      <w:r>
        <w:rPr>
          <w:rFonts w:eastAsia="仿宋_GB2312"/>
          <w:color w:val="auto"/>
          <w:sz w:val="32"/>
          <w:szCs w:val="32"/>
          <w:vertAlign w:val="superscript"/>
        </w:rPr>
        <w:t>2</w:t>
      </w:r>
      <w:r>
        <w:rPr>
          <w:rFonts w:hint="eastAsia" w:eastAsia="仿宋_GB2312"/>
          <w:color w:val="auto"/>
          <w:sz w:val="32"/>
          <w:szCs w:val="32"/>
        </w:rPr>
        <w:t>，总建筑面积约</w:t>
      </w:r>
      <w:r>
        <w:rPr>
          <w:rFonts w:hint="eastAsia" w:eastAsia="仿宋_GB2312"/>
          <w:color w:val="auto"/>
          <w:sz w:val="32"/>
          <w:szCs w:val="32"/>
          <w:lang w:val="en-US" w:eastAsia="zh-CN"/>
        </w:rPr>
        <w:t>30890.74</w:t>
      </w:r>
      <w:r>
        <w:rPr>
          <w:rFonts w:eastAsia="仿宋_GB2312"/>
          <w:color w:val="auto"/>
          <w:sz w:val="32"/>
          <w:szCs w:val="32"/>
        </w:rPr>
        <w:t>m</w:t>
      </w:r>
      <w:r>
        <w:rPr>
          <w:rFonts w:eastAsia="仿宋_GB2312"/>
          <w:color w:val="auto"/>
          <w:sz w:val="32"/>
          <w:szCs w:val="32"/>
          <w:vertAlign w:val="superscript"/>
        </w:rPr>
        <w:t>2</w:t>
      </w:r>
      <w:r>
        <w:rPr>
          <w:rFonts w:hint="eastAsia" w:eastAsia="仿宋_GB2312"/>
          <w:color w:val="auto"/>
          <w:sz w:val="32"/>
          <w:szCs w:val="32"/>
        </w:rPr>
        <w:t>，总投资</w:t>
      </w:r>
      <w:r>
        <w:rPr>
          <w:rFonts w:hint="eastAsia" w:eastAsia="仿宋_GB2312"/>
          <w:color w:val="auto"/>
          <w:sz w:val="32"/>
          <w:szCs w:val="32"/>
          <w:lang w:val="en-US" w:eastAsia="zh-CN"/>
        </w:rPr>
        <w:t>16100</w:t>
      </w:r>
      <w:r>
        <w:rPr>
          <w:rFonts w:hint="eastAsia" w:eastAsia="仿宋_GB2312"/>
          <w:color w:val="auto"/>
          <w:sz w:val="32"/>
          <w:szCs w:val="32"/>
        </w:rPr>
        <w:t>万元，</w:t>
      </w:r>
      <w:r>
        <w:rPr>
          <w:rFonts w:hint="eastAsia" w:eastAsia="仿宋_GB2312"/>
          <w:color w:val="auto"/>
          <w:sz w:val="32"/>
          <w:szCs w:val="32"/>
          <w:lang w:eastAsia="zh-CN"/>
        </w:rPr>
        <w:t>其中</w:t>
      </w:r>
      <w:r>
        <w:rPr>
          <w:rFonts w:hint="eastAsia" w:eastAsia="仿宋_GB2312"/>
          <w:color w:val="auto"/>
          <w:sz w:val="32"/>
          <w:szCs w:val="32"/>
        </w:rPr>
        <w:t>环保投资</w:t>
      </w:r>
      <w:r>
        <w:rPr>
          <w:rFonts w:hint="eastAsia" w:eastAsia="仿宋_GB2312"/>
          <w:color w:val="auto"/>
          <w:sz w:val="32"/>
          <w:szCs w:val="32"/>
          <w:lang w:val="en-US" w:eastAsia="zh-CN"/>
        </w:rPr>
        <w:t>500</w:t>
      </w:r>
      <w:r>
        <w:rPr>
          <w:rFonts w:hint="eastAsia" w:eastAsia="仿宋_GB2312"/>
          <w:color w:val="auto"/>
          <w:sz w:val="32"/>
          <w:szCs w:val="32"/>
        </w:rPr>
        <w:t>万元。项目采用炭汽肥多联产技术，年处理农林固废15万吨，</w:t>
      </w:r>
      <w:r>
        <w:rPr>
          <w:rFonts w:hint="eastAsia" w:eastAsia="仿宋_GB2312"/>
          <w:color w:val="auto"/>
          <w:sz w:val="32"/>
          <w:szCs w:val="32"/>
          <w:lang w:val="en-US" w:eastAsia="zh-CN"/>
        </w:rPr>
        <w:t>同时对场地内现有1#、2#钢结构厂房进行改造，新建1栋3#厂房</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zh-CN" w:eastAsia="zh-CN"/>
        </w:rPr>
        <w:t>配套建设相应的环保设施、环境风险防范措施以及公用、辅助、储运等设施。</w:t>
      </w:r>
      <w:r>
        <w:rPr>
          <w:rFonts w:hint="eastAsia" w:ascii="Times New Roman" w:hAnsi="Times New Roman" w:eastAsia="仿宋_GB2312" w:cs="Times New Roman"/>
          <w:color w:val="auto"/>
          <w:sz w:val="32"/>
          <w:szCs w:val="32"/>
          <w:lang w:val="en-US" w:eastAsia="zh-CN"/>
        </w:rPr>
        <w:t>项目建成后，年供应蒸汽35万吨给园区内及附近企业使用，供应范围覆盖整个开发区及周边企业，同时年产3万吨生物炭，1万吨生物炭基肥。</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rPr>
      </w:pPr>
      <w:r>
        <w:rPr>
          <w:rFonts w:hint="eastAsia" w:eastAsia="仿宋_GB2312"/>
          <w:color w:val="auto"/>
          <w:sz w:val="32"/>
          <w:szCs w:val="32"/>
        </w:rPr>
        <w:t>二、从生态环境保护角度，我局同意你单位按《报告书》所列建设项目的性质、规模、地点、采用的生产工艺和拟采取的各项环境保护措施进行建设，并重点做好以下工作：</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lang w:val="en-US" w:eastAsia="zh-CN"/>
        </w:rPr>
        <w:t>1.</w:t>
      </w:r>
      <w:r>
        <w:rPr>
          <w:rFonts w:hint="eastAsia" w:eastAsia="仿宋_GB2312"/>
          <w:color w:val="auto"/>
          <w:sz w:val="32"/>
          <w:szCs w:val="32"/>
        </w:rPr>
        <w:t>落实废水污染防治措施。项目排水系统实行雨污分流制。</w:t>
      </w:r>
      <w:r>
        <w:rPr>
          <w:rFonts w:hint="eastAsia" w:eastAsia="仿宋_GB2312"/>
          <w:color w:val="auto"/>
          <w:sz w:val="32"/>
          <w:szCs w:val="32"/>
          <w:lang w:val="en-US" w:eastAsia="zh-CN"/>
        </w:rPr>
        <w:t>反冲洗废水、循环冷却废水</w:t>
      </w:r>
      <w:r>
        <w:rPr>
          <w:rFonts w:hint="eastAsia" w:eastAsia="仿宋_GB2312"/>
          <w:color w:val="auto"/>
          <w:sz w:val="32"/>
          <w:szCs w:val="32"/>
        </w:rPr>
        <w:t>经</w:t>
      </w:r>
      <w:r>
        <w:rPr>
          <w:rFonts w:hint="eastAsia" w:eastAsia="仿宋_GB2312"/>
          <w:color w:val="auto"/>
          <w:sz w:val="32"/>
          <w:szCs w:val="32"/>
          <w:lang w:val="en-US" w:eastAsia="zh-CN"/>
        </w:rPr>
        <w:t>20</w:t>
      </w:r>
      <w:r>
        <w:rPr>
          <w:rFonts w:hint="eastAsia" w:eastAsia="仿宋_GB2312"/>
          <w:color w:val="auto"/>
          <w:sz w:val="32"/>
          <w:szCs w:val="32"/>
        </w:rPr>
        <w:t>m</w:t>
      </w:r>
      <w:r>
        <w:rPr>
          <w:rFonts w:hint="eastAsia" w:eastAsia="仿宋_GB2312"/>
          <w:color w:val="auto"/>
          <w:sz w:val="32"/>
          <w:szCs w:val="32"/>
          <w:vertAlign w:val="superscript"/>
        </w:rPr>
        <w:t>3</w:t>
      </w:r>
      <w:r>
        <w:rPr>
          <w:rFonts w:hint="eastAsia" w:eastAsia="仿宋_GB2312"/>
          <w:color w:val="auto"/>
          <w:sz w:val="32"/>
          <w:szCs w:val="32"/>
        </w:rPr>
        <w:t>/d</w:t>
      </w:r>
      <w:r>
        <w:rPr>
          <w:rFonts w:hint="eastAsia" w:eastAsia="仿宋_GB2312"/>
          <w:color w:val="auto"/>
          <w:sz w:val="32"/>
          <w:szCs w:val="32"/>
          <w:lang w:eastAsia="zh-CN"/>
        </w:rPr>
        <w:t>的</w:t>
      </w:r>
      <w:r>
        <w:rPr>
          <w:rFonts w:hint="eastAsia" w:eastAsia="仿宋_GB2312"/>
          <w:color w:val="auto"/>
          <w:sz w:val="32"/>
          <w:szCs w:val="32"/>
        </w:rPr>
        <w:t>“</w:t>
      </w:r>
      <w:r>
        <w:rPr>
          <w:rFonts w:hint="eastAsia" w:eastAsia="仿宋_GB2312"/>
          <w:color w:val="auto"/>
          <w:sz w:val="32"/>
          <w:szCs w:val="32"/>
          <w:lang w:val="en-US" w:eastAsia="zh-CN"/>
        </w:rPr>
        <w:t>pH调节+絮凝沉淀</w:t>
      </w:r>
      <w:r>
        <w:rPr>
          <w:rFonts w:hint="eastAsia" w:eastAsia="仿宋_GB2312"/>
          <w:color w:val="auto"/>
          <w:sz w:val="32"/>
          <w:szCs w:val="32"/>
        </w:rPr>
        <w:t>”</w:t>
      </w:r>
      <w:r>
        <w:rPr>
          <w:rFonts w:hint="eastAsia" w:eastAsia="仿宋_GB2312"/>
          <w:color w:val="auto"/>
          <w:sz w:val="32"/>
          <w:szCs w:val="32"/>
          <w:lang w:val="en-US" w:eastAsia="zh-CN"/>
        </w:rPr>
        <w:t>处理设施</w:t>
      </w:r>
      <w:r>
        <w:rPr>
          <w:rFonts w:hint="eastAsia" w:eastAsia="仿宋_GB2312"/>
          <w:color w:val="auto"/>
          <w:sz w:val="32"/>
          <w:szCs w:val="32"/>
        </w:rPr>
        <w:t>处理</w:t>
      </w:r>
      <w:r>
        <w:rPr>
          <w:rFonts w:hint="eastAsia" w:eastAsia="仿宋_GB2312"/>
          <w:color w:val="auto"/>
          <w:sz w:val="32"/>
          <w:szCs w:val="32"/>
          <w:lang w:eastAsia="zh-CN"/>
        </w:rPr>
        <w:t>，</w:t>
      </w:r>
      <w:r>
        <w:rPr>
          <w:rFonts w:hint="eastAsia" w:eastAsia="仿宋_GB2312"/>
          <w:color w:val="auto"/>
          <w:sz w:val="32"/>
          <w:szCs w:val="32"/>
          <w:lang w:val="en-US" w:eastAsia="zh-CN"/>
        </w:rPr>
        <w:t>生活污水经隔油池+化粪池处理，上述废水与制纯水浓</w:t>
      </w:r>
      <w:r>
        <w:rPr>
          <w:rFonts w:hint="eastAsia" w:eastAsia="仿宋_GB2312"/>
          <w:color w:val="auto"/>
          <w:sz w:val="32"/>
          <w:szCs w:val="32"/>
          <w:lang w:val="en-US" w:eastAsia="zh-CN"/>
        </w:rPr>
        <w:t>水等废水中</w:t>
      </w:r>
      <w:r>
        <w:rPr>
          <w:rFonts w:hint="eastAsia" w:eastAsia="仿宋_GB2312"/>
          <w:color w:val="auto"/>
          <w:sz w:val="32"/>
          <w:szCs w:val="32"/>
        </w:rPr>
        <w:t>pH、CODcr、BOD</w:t>
      </w:r>
      <w:r>
        <w:rPr>
          <w:rFonts w:hint="eastAsia" w:eastAsia="仿宋_GB2312"/>
          <w:color w:val="auto"/>
          <w:sz w:val="32"/>
          <w:szCs w:val="32"/>
          <w:vertAlign w:val="subscript"/>
        </w:rPr>
        <w:t>5</w:t>
      </w:r>
      <w:r>
        <w:rPr>
          <w:rFonts w:hint="eastAsia" w:eastAsia="仿宋_GB2312"/>
          <w:color w:val="auto"/>
          <w:sz w:val="32"/>
          <w:szCs w:val="32"/>
        </w:rPr>
        <w:t>、SS</w:t>
      </w:r>
      <w:r>
        <w:rPr>
          <w:rFonts w:hint="eastAsia" w:eastAsia="仿宋_GB2312"/>
          <w:color w:val="auto"/>
          <w:sz w:val="32"/>
          <w:szCs w:val="32"/>
          <w:lang w:eastAsia="zh-CN"/>
        </w:rPr>
        <w:t>、</w:t>
      </w:r>
      <w:r>
        <w:rPr>
          <w:rFonts w:hint="eastAsia" w:eastAsia="仿宋_GB2312"/>
          <w:color w:val="auto"/>
          <w:sz w:val="32"/>
          <w:szCs w:val="32"/>
          <w:lang w:val="en-US" w:eastAsia="zh-CN"/>
        </w:rPr>
        <w:t>动</w:t>
      </w:r>
      <w:r>
        <w:rPr>
          <w:rFonts w:hint="eastAsia" w:eastAsia="仿宋_GB2312"/>
          <w:color w:val="auto"/>
          <w:sz w:val="32"/>
          <w:szCs w:val="32"/>
          <w:lang w:val="en-US" w:eastAsia="zh-CN"/>
        </w:rPr>
        <w:t>植物油等污染物浓度达到</w:t>
      </w:r>
      <w:r>
        <w:rPr>
          <w:rFonts w:hint="eastAsia" w:eastAsia="仿宋_GB2312"/>
          <w:color w:val="auto"/>
          <w:sz w:val="32"/>
          <w:szCs w:val="32"/>
        </w:rPr>
        <w:t>《</w:t>
      </w:r>
      <w:r>
        <w:rPr>
          <w:rFonts w:hint="eastAsia" w:eastAsia="仿宋_GB2312"/>
          <w:color w:val="auto"/>
          <w:sz w:val="32"/>
          <w:szCs w:val="32"/>
          <w:lang w:val="en-US" w:eastAsia="zh-CN"/>
        </w:rPr>
        <w:t>污水综合排放标准</w:t>
      </w:r>
      <w:r>
        <w:rPr>
          <w:rFonts w:hint="eastAsia" w:eastAsia="仿宋_GB2312"/>
          <w:color w:val="auto"/>
          <w:sz w:val="32"/>
          <w:szCs w:val="32"/>
        </w:rPr>
        <w:t xml:space="preserve">》（GB </w:t>
      </w:r>
      <w:r>
        <w:rPr>
          <w:rFonts w:hint="eastAsia" w:eastAsia="仿宋_GB2312"/>
          <w:color w:val="auto"/>
          <w:sz w:val="32"/>
          <w:szCs w:val="32"/>
          <w:lang w:val="en-US" w:eastAsia="zh-CN"/>
        </w:rPr>
        <w:t>8978-1996</w:t>
      </w:r>
      <w:r>
        <w:rPr>
          <w:rFonts w:hint="eastAsia" w:eastAsia="仿宋_GB2312"/>
          <w:color w:val="auto"/>
          <w:sz w:val="32"/>
          <w:szCs w:val="32"/>
        </w:rPr>
        <w:t>）中表</w:t>
      </w:r>
      <w:r>
        <w:rPr>
          <w:rFonts w:hint="eastAsia" w:eastAsia="仿宋_GB2312"/>
          <w:color w:val="auto"/>
          <w:sz w:val="32"/>
          <w:szCs w:val="32"/>
          <w:lang w:val="en-US" w:eastAsia="zh-CN"/>
        </w:rPr>
        <w:t>4中三级标准，氨氮和溶解性总固体等污染物达到《污水排入城镇下水道水质标准》（GB/T 31962-2015）表1中B级限值后由厂区废水总排口进入园区污水管网排入太平经开区污水处理厂处理达标后排入浦溪河。项目应</w:t>
      </w:r>
      <w:r>
        <w:rPr>
          <w:rFonts w:hint="eastAsia" w:eastAsia="仿宋_GB2312"/>
          <w:color w:val="auto"/>
          <w:sz w:val="32"/>
          <w:szCs w:val="32"/>
        </w:rPr>
        <w:t>按要求建设规范化排污口。</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2.</w:t>
      </w:r>
      <w:r>
        <w:rPr>
          <w:rFonts w:hint="eastAsia" w:eastAsia="仿宋_GB2312"/>
          <w:color w:val="auto"/>
          <w:sz w:val="32"/>
          <w:szCs w:val="32"/>
        </w:rPr>
        <w:t>落实大气污染防治措施。项目应确保所在区域环境空气质量达到《环境空气质量标准》（GB 3095-2012）及2018年修改单中规定的二级浓度限值，氨、硫化氢达到《环境影响评价技术导则 大气环境》（HJ2.2-2018）附录D中的质量浓度参考限值</w:t>
      </w:r>
      <w:r>
        <w:rPr>
          <w:rFonts w:hint="eastAsia" w:eastAsia="仿宋_GB2312"/>
          <w:color w:val="auto"/>
          <w:sz w:val="32"/>
          <w:szCs w:val="32"/>
          <w:lang w:eastAsia="zh-CN"/>
        </w:rPr>
        <w:t>，</w:t>
      </w:r>
      <w:r>
        <w:rPr>
          <w:rFonts w:hint="eastAsia" w:eastAsia="仿宋_GB2312"/>
          <w:color w:val="auto"/>
          <w:sz w:val="32"/>
          <w:szCs w:val="32"/>
          <w:lang w:val="en-US" w:eastAsia="zh-CN"/>
        </w:rPr>
        <w:t>非甲烷总烃达到《大气污染物综合排放标准详解》中的推荐值</w:t>
      </w:r>
      <w:r>
        <w:rPr>
          <w:rFonts w:hint="eastAsia" w:eastAsia="仿宋_GB2312"/>
          <w:color w:val="auto"/>
          <w:sz w:val="32"/>
          <w:szCs w:val="32"/>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生物炭生产线投料废气应做到厂房密闭，定期通风；烘干废气经设备全密闭收集经“旋风除尘+布袋除尘器”处理后经不低于15m高排气筒排</w:t>
      </w:r>
      <w:r>
        <w:rPr>
          <w:rFonts w:hint="eastAsia" w:eastAsia="仿宋_GB2312"/>
          <w:color w:val="auto"/>
          <w:sz w:val="32"/>
          <w:szCs w:val="32"/>
          <w:lang w:val="en-US" w:eastAsia="zh-CN"/>
        </w:rPr>
        <w:t>放；锅炉废气经设备全密闭收集后经“SNCR+SCR脱硝+布袋除尘+双碱法脱硫”处理后经不低于8m高排气筒排放。</w:t>
      </w:r>
      <w:r>
        <w:rPr>
          <w:rFonts w:hint="eastAsia" w:eastAsia="仿宋_GB2312"/>
          <w:color w:val="auto"/>
          <w:sz w:val="32"/>
          <w:szCs w:val="32"/>
        </w:rPr>
        <w:t>生物炭基肥</w:t>
      </w:r>
      <w:r>
        <w:rPr>
          <w:rFonts w:hint="eastAsia" w:eastAsia="仿宋_GB2312"/>
          <w:color w:val="auto"/>
          <w:sz w:val="32"/>
          <w:szCs w:val="32"/>
          <w:lang w:val="en-US" w:eastAsia="zh-CN"/>
        </w:rPr>
        <w:t>生产及贮存废气应做到源头控制，进场物料需为完全腐熟有机肥，同时做好生产及贮存过程中臭气浓度控制，厂房密闭，密闭贮存，定期投放除臭剂等措施控制其影响，上料、制粒、包装废气采用集气罩收集，经布袋除尘器处理后经不低于15m高排气筒排放。</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锅炉废气</w:t>
      </w:r>
      <w:r>
        <w:rPr>
          <w:rFonts w:hint="eastAsia" w:eastAsia="仿宋_GB2312"/>
          <w:color w:val="auto"/>
          <w:sz w:val="32"/>
          <w:szCs w:val="32"/>
          <w:lang w:eastAsia="zh-CN"/>
        </w:rPr>
        <w:t>中</w:t>
      </w:r>
      <w:r>
        <w:rPr>
          <w:rFonts w:hint="eastAsia" w:eastAsia="仿宋_GB2312"/>
          <w:color w:val="auto"/>
          <w:sz w:val="32"/>
          <w:szCs w:val="32"/>
        </w:rPr>
        <w:t>颗粒物、二氧化硫</w:t>
      </w:r>
      <w:r>
        <w:rPr>
          <w:rFonts w:hint="eastAsia" w:eastAsia="仿宋_GB2312"/>
          <w:color w:val="auto"/>
          <w:sz w:val="32"/>
          <w:szCs w:val="32"/>
          <w:lang w:val="en-US" w:eastAsia="zh-CN"/>
        </w:rPr>
        <w:t>应</w:t>
      </w:r>
      <w:r>
        <w:rPr>
          <w:rFonts w:hint="eastAsia" w:eastAsia="仿宋_GB2312"/>
          <w:color w:val="auto"/>
          <w:sz w:val="32"/>
          <w:szCs w:val="32"/>
          <w:lang w:eastAsia="zh-CN"/>
        </w:rPr>
        <w:t>达到</w:t>
      </w:r>
      <w:r>
        <w:rPr>
          <w:rFonts w:hint="eastAsia" w:eastAsia="仿宋_GB2312"/>
          <w:color w:val="auto"/>
          <w:sz w:val="32"/>
          <w:szCs w:val="32"/>
        </w:rPr>
        <w:t>《锅炉大气污染物排放标准》（GB13271-2014）中</w:t>
      </w:r>
      <w:r>
        <w:rPr>
          <w:rFonts w:hint="eastAsia" w:eastAsia="仿宋_GB2312"/>
          <w:color w:val="auto"/>
          <w:sz w:val="32"/>
          <w:szCs w:val="32"/>
          <w:lang w:eastAsia="zh-CN"/>
        </w:rPr>
        <w:t>表</w:t>
      </w:r>
      <w:r>
        <w:rPr>
          <w:rFonts w:hint="eastAsia" w:eastAsia="仿宋_GB2312"/>
          <w:color w:val="auto"/>
          <w:sz w:val="32"/>
          <w:szCs w:val="32"/>
          <w:lang w:val="en-US" w:eastAsia="zh-CN"/>
        </w:rPr>
        <w:t>3燃气锅炉</w:t>
      </w:r>
      <w:r>
        <w:rPr>
          <w:rFonts w:hint="eastAsia" w:eastAsia="仿宋_GB2312"/>
          <w:color w:val="auto"/>
          <w:sz w:val="32"/>
          <w:szCs w:val="32"/>
        </w:rPr>
        <w:t>特别排放限值要求，氮氧化物</w:t>
      </w:r>
      <w:r>
        <w:rPr>
          <w:rFonts w:hint="eastAsia" w:eastAsia="仿宋_GB2312"/>
          <w:color w:val="auto"/>
          <w:sz w:val="32"/>
          <w:szCs w:val="32"/>
          <w:lang w:val="en-US" w:eastAsia="zh-CN"/>
        </w:rPr>
        <w:t>应</w:t>
      </w:r>
      <w:r>
        <w:rPr>
          <w:rFonts w:hint="eastAsia" w:eastAsia="仿宋_GB2312"/>
          <w:color w:val="auto"/>
          <w:sz w:val="32"/>
          <w:szCs w:val="32"/>
          <w:lang w:eastAsia="zh-CN"/>
        </w:rPr>
        <w:t>达到</w:t>
      </w:r>
      <w:r>
        <w:rPr>
          <w:rFonts w:hint="eastAsia" w:eastAsia="仿宋_GB2312"/>
          <w:color w:val="auto"/>
          <w:sz w:val="32"/>
          <w:szCs w:val="32"/>
        </w:rPr>
        <w:t>《关于印发安徽省空气质量持续改善行动方案的通知》《安徽省2020年大气污染防治重点工作任务》（皖大气办〔2020〕2号）中燃气锅炉低氮改造标准限值</w:t>
      </w:r>
      <w:r>
        <w:rPr>
          <w:rFonts w:hint="eastAsia" w:eastAsia="仿宋_GB2312"/>
          <w:color w:val="auto"/>
          <w:sz w:val="32"/>
          <w:szCs w:val="32"/>
          <w:lang w:eastAsia="zh-CN"/>
        </w:rPr>
        <w:t>（</w:t>
      </w:r>
      <w:r>
        <w:rPr>
          <w:rFonts w:hint="eastAsia" w:eastAsia="仿宋_GB2312"/>
          <w:color w:val="auto"/>
          <w:sz w:val="32"/>
          <w:szCs w:val="32"/>
          <w:lang w:val="en-US" w:eastAsia="zh-CN"/>
        </w:rPr>
        <w:t>50mg/m</w:t>
      </w:r>
      <w:r>
        <w:rPr>
          <w:rFonts w:hint="eastAsia" w:eastAsia="仿宋_GB2312"/>
          <w:color w:val="auto"/>
          <w:sz w:val="32"/>
          <w:szCs w:val="32"/>
          <w:vertAlign w:val="superscript"/>
          <w:lang w:val="en-US" w:eastAsia="zh-CN"/>
        </w:rPr>
        <w:t>3</w:t>
      </w:r>
      <w:r>
        <w:rPr>
          <w:rFonts w:hint="eastAsia" w:eastAsia="仿宋_GB2312"/>
          <w:color w:val="auto"/>
          <w:sz w:val="32"/>
          <w:szCs w:val="32"/>
          <w:lang w:eastAsia="zh-CN"/>
        </w:rPr>
        <w:t>）</w:t>
      </w:r>
      <w:r>
        <w:rPr>
          <w:rFonts w:hint="eastAsia" w:eastAsia="仿宋_GB2312"/>
          <w:color w:val="auto"/>
          <w:sz w:val="32"/>
          <w:szCs w:val="32"/>
        </w:rPr>
        <w:t>要求</w:t>
      </w:r>
      <w:r>
        <w:rPr>
          <w:rFonts w:hint="eastAsia" w:eastAsia="仿宋_GB2312"/>
          <w:color w:val="auto"/>
          <w:sz w:val="32"/>
          <w:szCs w:val="32"/>
          <w:lang w:eastAsia="zh-CN"/>
        </w:rPr>
        <w:t>；</w:t>
      </w:r>
      <w:r>
        <w:rPr>
          <w:rFonts w:hint="eastAsia" w:eastAsia="仿宋_GB2312"/>
          <w:color w:val="auto"/>
          <w:sz w:val="32"/>
          <w:szCs w:val="32"/>
        </w:rPr>
        <w:t>非甲烷总烃</w:t>
      </w:r>
      <w:r>
        <w:rPr>
          <w:rFonts w:hint="eastAsia" w:eastAsia="仿宋_GB2312"/>
          <w:color w:val="auto"/>
          <w:sz w:val="32"/>
          <w:szCs w:val="32"/>
          <w:lang w:eastAsia="zh-CN"/>
        </w:rPr>
        <w:t>应达到</w:t>
      </w:r>
      <w:r>
        <w:rPr>
          <w:rFonts w:hint="eastAsia" w:eastAsia="仿宋_GB2312"/>
          <w:color w:val="auto"/>
          <w:sz w:val="32"/>
          <w:szCs w:val="32"/>
        </w:rPr>
        <w:t>《固定源挥发性有机物综合排放标准 第3部分：有机化学品制造工业》（DB34_4812.3-2024）标准限值要求</w:t>
      </w:r>
      <w:r>
        <w:rPr>
          <w:rFonts w:hint="eastAsia" w:eastAsia="仿宋_GB2312"/>
          <w:color w:val="auto"/>
          <w:sz w:val="32"/>
          <w:szCs w:val="32"/>
          <w:lang w:eastAsia="zh-CN"/>
        </w:rPr>
        <w:t>；</w:t>
      </w:r>
      <w:r>
        <w:rPr>
          <w:rFonts w:hint="eastAsia" w:eastAsia="仿宋_GB2312"/>
          <w:color w:val="auto"/>
          <w:sz w:val="32"/>
          <w:szCs w:val="32"/>
        </w:rPr>
        <w:t>脱硝产生的逃逸氨经协同处置后</w:t>
      </w:r>
      <w:r>
        <w:rPr>
          <w:rFonts w:hint="eastAsia" w:eastAsia="仿宋_GB2312"/>
          <w:color w:val="auto"/>
          <w:sz w:val="32"/>
          <w:szCs w:val="32"/>
          <w:lang w:val="en-US" w:eastAsia="zh-CN"/>
        </w:rPr>
        <w:t>应达到</w:t>
      </w:r>
      <w:r>
        <w:rPr>
          <w:rFonts w:hint="eastAsia" w:eastAsia="仿宋_GB2312"/>
          <w:color w:val="auto"/>
          <w:sz w:val="32"/>
          <w:szCs w:val="32"/>
        </w:rPr>
        <w:t>《恶臭污染物排放标准》（GB14554-93）标准限值要求；</w:t>
      </w:r>
      <w:r>
        <w:rPr>
          <w:rFonts w:hint="eastAsia" w:eastAsia="仿宋_GB2312"/>
          <w:color w:val="auto"/>
          <w:sz w:val="32"/>
          <w:szCs w:val="32"/>
          <w:lang w:val="en-US" w:eastAsia="zh-CN"/>
        </w:rPr>
        <w:t>有组织排放的生物炭烘干废气、</w:t>
      </w:r>
      <w:r>
        <w:rPr>
          <w:rFonts w:hint="eastAsia" w:eastAsia="仿宋_GB2312"/>
          <w:color w:val="auto"/>
          <w:sz w:val="32"/>
          <w:szCs w:val="32"/>
        </w:rPr>
        <w:t>生物炭基肥</w:t>
      </w:r>
      <w:r>
        <w:rPr>
          <w:rFonts w:hint="eastAsia" w:eastAsia="仿宋_GB2312"/>
          <w:color w:val="auto"/>
          <w:sz w:val="32"/>
          <w:szCs w:val="32"/>
          <w:lang w:val="en-US" w:eastAsia="zh-CN"/>
        </w:rPr>
        <w:t>上料、制粒、包装废气</w:t>
      </w:r>
      <w:r>
        <w:rPr>
          <w:rFonts w:hint="eastAsia" w:eastAsia="仿宋_GB2312"/>
          <w:color w:val="auto"/>
          <w:sz w:val="32"/>
          <w:szCs w:val="32"/>
          <w:lang w:eastAsia="zh-CN"/>
        </w:rPr>
        <w:t>中的</w:t>
      </w:r>
      <w:r>
        <w:rPr>
          <w:rFonts w:hint="eastAsia" w:eastAsia="仿宋_GB2312"/>
          <w:color w:val="auto"/>
          <w:sz w:val="32"/>
          <w:szCs w:val="32"/>
        </w:rPr>
        <w:t>颗粒物</w:t>
      </w:r>
      <w:r>
        <w:rPr>
          <w:rFonts w:hint="eastAsia" w:eastAsia="仿宋_GB2312"/>
          <w:color w:val="auto"/>
          <w:sz w:val="32"/>
          <w:szCs w:val="32"/>
          <w:lang w:val="en-US" w:eastAsia="zh-CN"/>
        </w:rPr>
        <w:t>应</w:t>
      </w:r>
      <w:r>
        <w:rPr>
          <w:rFonts w:hint="eastAsia" w:eastAsia="仿宋_GB2312"/>
          <w:color w:val="auto"/>
          <w:sz w:val="32"/>
          <w:szCs w:val="32"/>
          <w:lang w:eastAsia="zh-CN"/>
        </w:rPr>
        <w:t>达到</w:t>
      </w:r>
      <w:r>
        <w:rPr>
          <w:rFonts w:hint="eastAsia" w:eastAsia="仿宋_GB2312"/>
          <w:color w:val="auto"/>
          <w:sz w:val="32"/>
          <w:szCs w:val="32"/>
        </w:rPr>
        <w:t>《大气污染物综合排放标准》（GB16297-1996）表2中的二级标准限值要求。</w:t>
      </w:r>
      <w:r>
        <w:rPr>
          <w:rFonts w:hint="eastAsia" w:eastAsia="仿宋_GB2312"/>
          <w:color w:val="auto"/>
          <w:sz w:val="32"/>
          <w:szCs w:val="32"/>
          <w:lang w:eastAsia="zh-CN"/>
        </w:rPr>
        <w:t>餐饮油烟排放应达到</w:t>
      </w:r>
      <w:r>
        <w:rPr>
          <w:rFonts w:hint="eastAsia" w:eastAsia="仿宋_GB2312"/>
          <w:color w:val="auto"/>
          <w:sz w:val="32"/>
          <w:szCs w:val="32"/>
          <w:lang w:val="en-US" w:eastAsia="zh-CN"/>
        </w:rPr>
        <w:t>《饮食业油烟排放标准（试行）》（GB18483-2001）中</w:t>
      </w:r>
      <w:r>
        <w:rPr>
          <w:rFonts w:hint="eastAsia" w:eastAsia="仿宋_GB2312"/>
          <w:color w:val="auto"/>
          <w:sz w:val="32"/>
          <w:szCs w:val="32"/>
          <w:highlight w:val="none"/>
          <w:lang w:val="en-US" w:eastAsia="zh-CN"/>
        </w:rPr>
        <w:t>小型标</w:t>
      </w:r>
      <w:r>
        <w:rPr>
          <w:rFonts w:hint="eastAsia" w:eastAsia="仿宋_GB2312"/>
          <w:color w:val="auto"/>
          <w:sz w:val="32"/>
          <w:szCs w:val="32"/>
          <w:lang w:val="en-US" w:eastAsia="zh-CN"/>
        </w:rPr>
        <w:t>准。厂界无组织排放颗粒物、挥发性有机物（以非甲烷总烃计）应达到《大气污染物综合排放标准》（GB16297-1996）表2中无组织排放监控浓度限值；氨、硫化氢、臭气浓度厂界无组织排放执行《恶臭污染物排放标准》（GB14554-93）表1中新扩改建二级标准；厂区内挥发性有机物（以非甲烷总烃计）无组织排放应</w:t>
      </w:r>
      <w:r>
        <w:rPr>
          <w:rFonts w:hint="eastAsia" w:eastAsia="仿宋_GB2312"/>
          <w:color w:val="auto"/>
          <w:sz w:val="32"/>
          <w:szCs w:val="32"/>
          <w:highlight w:val="none"/>
          <w:lang w:val="en-US" w:eastAsia="zh-CN"/>
        </w:rPr>
        <w:t>符合《固定源挥发性有机物综合排放标准 第3部分：有机化学品制造工业》（DB34/4812.3-2024）表3限值。废气应</w:t>
      </w:r>
      <w:r>
        <w:rPr>
          <w:rFonts w:hint="eastAsia" w:eastAsia="仿宋_GB2312"/>
          <w:color w:val="auto"/>
          <w:sz w:val="32"/>
          <w:szCs w:val="32"/>
          <w:highlight w:val="none"/>
        </w:rPr>
        <w:t>按要求建设规范化排污口</w:t>
      </w:r>
      <w:r>
        <w:rPr>
          <w:rFonts w:hint="eastAsia" w:eastAsia="仿宋_GB2312"/>
          <w:color w:val="auto"/>
          <w:sz w:val="32"/>
          <w:szCs w:val="32"/>
          <w:highlight w:val="none"/>
          <w:lang w:eastAsia="zh-CN"/>
        </w:rPr>
        <w:t>，依法依规安装并联网锅炉废气氮氧化物自动监测设施。</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rPr>
      </w:pPr>
      <w:r>
        <w:rPr>
          <w:rFonts w:hint="eastAsia" w:eastAsia="仿宋_GB2312"/>
          <w:color w:val="auto"/>
          <w:sz w:val="32"/>
          <w:szCs w:val="32"/>
        </w:rPr>
        <w:t>项目环境防护距离为厂界外50米</w:t>
      </w:r>
      <w:r>
        <w:rPr>
          <w:rFonts w:hint="eastAsia" w:eastAsia="仿宋_GB2312"/>
          <w:color w:val="auto"/>
          <w:sz w:val="32"/>
          <w:szCs w:val="32"/>
          <w:lang w:eastAsia="zh-CN"/>
        </w:rPr>
        <w:t>，</w:t>
      </w:r>
      <w:r>
        <w:rPr>
          <w:rFonts w:hint="eastAsia" w:eastAsia="仿宋_GB2312"/>
          <w:color w:val="auto"/>
          <w:sz w:val="32"/>
          <w:szCs w:val="32"/>
        </w:rPr>
        <w:t>该环境防护距离范围内不得有医院、学校、居民住宅</w:t>
      </w:r>
      <w:r>
        <w:rPr>
          <w:rFonts w:hint="eastAsia" w:eastAsia="仿宋_GB2312"/>
          <w:color w:val="auto"/>
          <w:sz w:val="32"/>
          <w:szCs w:val="32"/>
          <w:lang w:eastAsia="zh-CN"/>
        </w:rPr>
        <w:t>、食品企业</w:t>
      </w:r>
      <w:r>
        <w:rPr>
          <w:rFonts w:hint="eastAsia" w:eastAsia="仿宋_GB2312"/>
          <w:color w:val="auto"/>
          <w:sz w:val="32"/>
          <w:szCs w:val="32"/>
        </w:rPr>
        <w:t>等环境敏感建筑物。</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lang w:val="en-US" w:eastAsia="zh-CN"/>
        </w:rPr>
        <w:t xml:space="preserve"> 3.</w:t>
      </w:r>
      <w:r>
        <w:rPr>
          <w:rFonts w:hint="eastAsia" w:eastAsia="仿宋_GB2312"/>
          <w:color w:val="auto"/>
          <w:sz w:val="32"/>
          <w:szCs w:val="32"/>
        </w:rPr>
        <w:t>做好固体废物污染防治工作。</w:t>
      </w:r>
      <w:r>
        <w:rPr>
          <w:rFonts w:hint="eastAsia" w:eastAsia="仿宋_GB2312"/>
          <w:color w:val="auto"/>
          <w:sz w:val="32"/>
          <w:szCs w:val="32"/>
          <w:lang w:eastAsia="zh-CN"/>
        </w:rPr>
        <w:t>建立健全工业固体废物产生、收集、贮存、运输、利用、处置全过程的污染环境防治责任制度，建立工业固体废物管理台账，按规定建设工业固废贮存场所，采取防治工业固体废物环境的措施。对废脱硝催化剂、废润滑油、废润滑油桶、废片碱内包装袋等危险废物必须按照《中华人民共和国固体废物污染环境防治法》中的特别规定和《危险废物贮存污染控制标准》（GB18597-2023)的要求,配套专用危险废物临时储存设施，配备专用储存容器进行收集，委托有资质的专业机构对其进行处置，并做好处置记录，不得随意处置。应制定危险废物管理计划，并将管理计划及危险废物管理有关资料向环境保护行政主管部门申报、备案。</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4.</w:t>
      </w:r>
      <w:r>
        <w:rPr>
          <w:rFonts w:hint="eastAsia" w:eastAsia="仿宋_GB2312"/>
          <w:color w:val="auto"/>
          <w:sz w:val="32"/>
          <w:szCs w:val="32"/>
        </w:rPr>
        <w:t>做好地下水、土壤污染防治工作。</w:t>
      </w:r>
      <w:bookmarkStart w:id="0" w:name="OLE_LINK3"/>
      <w:r>
        <w:rPr>
          <w:rFonts w:hint="eastAsia" w:eastAsia="仿宋_GB2312"/>
          <w:color w:val="auto"/>
          <w:sz w:val="32"/>
          <w:szCs w:val="32"/>
        </w:rPr>
        <w:t>严格落实《报告书》中分区防渗重点污染防治区防渗措施和其他区域的一般防渗措施，确保地下水环境质量达到《地下水质量标准》（GB/T14848-2017）中的Ⅲ类标准</w:t>
      </w:r>
      <w:r>
        <w:rPr>
          <w:rFonts w:hint="eastAsia" w:eastAsia="仿宋_GB2312"/>
          <w:color w:val="auto"/>
          <w:sz w:val="32"/>
          <w:szCs w:val="32"/>
          <w:lang w:eastAsia="zh-CN"/>
        </w:rPr>
        <w:t>，</w:t>
      </w:r>
      <w:r>
        <w:rPr>
          <w:rFonts w:hint="eastAsia" w:eastAsia="仿宋_GB2312"/>
          <w:color w:val="auto"/>
          <w:sz w:val="32"/>
          <w:szCs w:val="32"/>
        </w:rPr>
        <w:t>土壤环境质量达到《土壤环境质量 建设用地土壤污染风险管控标准（试行）》（GB36600-2018）中第二类用地筛选值</w:t>
      </w:r>
      <w:r>
        <w:rPr>
          <w:rFonts w:hint="eastAsia" w:eastAsia="仿宋_GB2312"/>
          <w:color w:val="auto"/>
          <w:sz w:val="32"/>
          <w:szCs w:val="32"/>
          <w:lang w:eastAsia="zh-CN"/>
        </w:rPr>
        <w:t>标准</w:t>
      </w:r>
      <w:r>
        <w:rPr>
          <w:rFonts w:hint="eastAsia" w:eastAsia="仿宋_GB2312"/>
          <w:color w:val="auto"/>
          <w:sz w:val="32"/>
          <w:szCs w:val="32"/>
        </w:rPr>
        <w:t>，防止地下水、土壤受到污染</w:t>
      </w:r>
      <w:r>
        <w:rPr>
          <w:rFonts w:hint="eastAsia" w:eastAsia="仿宋_GB2312"/>
          <w:color w:val="auto"/>
          <w:sz w:val="32"/>
          <w:szCs w:val="32"/>
          <w:lang w:eastAsia="zh-CN"/>
        </w:rPr>
        <w:t>，确保项目区域的地下水、土壤环境质量不降低</w:t>
      </w:r>
      <w:r>
        <w:rPr>
          <w:rFonts w:hint="eastAsia" w:eastAsia="仿宋_GB2312"/>
          <w:color w:val="auto"/>
          <w:sz w:val="32"/>
          <w:szCs w:val="32"/>
        </w:rPr>
        <w:t>。</w:t>
      </w:r>
    </w:p>
    <w:bookmarkEnd w:id="0"/>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5.</w:t>
      </w:r>
      <w:r>
        <w:rPr>
          <w:rFonts w:hint="eastAsia" w:eastAsia="仿宋_GB2312"/>
          <w:color w:val="auto"/>
          <w:sz w:val="32"/>
          <w:szCs w:val="32"/>
        </w:rPr>
        <w:t>落实噪声污染防治措施。优先选用低噪声设备并合理布局，对各类噪声源采取必要的隔声、减振、消声、降噪措施，确保项目</w:t>
      </w:r>
      <w:r>
        <w:rPr>
          <w:rFonts w:hint="eastAsia" w:eastAsia="仿宋_GB2312"/>
          <w:color w:val="auto"/>
          <w:sz w:val="32"/>
          <w:szCs w:val="32"/>
          <w:lang w:eastAsia="zh-CN"/>
        </w:rPr>
        <w:t>生产过程中</w:t>
      </w:r>
      <w:r>
        <w:rPr>
          <w:rFonts w:hint="eastAsia" w:eastAsia="仿宋_GB2312"/>
          <w:color w:val="auto"/>
          <w:sz w:val="32"/>
          <w:szCs w:val="32"/>
        </w:rPr>
        <w:t>厂界昼夜噪声符合《工业企业厂界环境噪声排放标准》（GB12348-2008）中</w:t>
      </w:r>
      <w:r>
        <w:rPr>
          <w:rFonts w:hint="eastAsia" w:eastAsia="仿宋_GB2312"/>
          <w:color w:val="auto"/>
          <w:sz w:val="32"/>
          <w:szCs w:val="32"/>
          <w:lang w:val="en-US" w:eastAsia="zh-CN"/>
        </w:rPr>
        <w:t>3</w:t>
      </w:r>
      <w:r>
        <w:rPr>
          <w:rFonts w:hint="eastAsia" w:eastAsia="仿宋_GB2312"/>
          <w:color w:val="auto"/>
          <w:sz w:val="32"/>
          <w:szCs w:val="32"/>
        </w:rPr>
        <w:t>类标准</w:t>
      </w:r>
      <w:r>
        <w:rPr>
          <w:rFonts w:hint="eastAsia" w:eastAsia="仿宋_GB2312"/>
          <w:color w:val="auto"/>
          <w:sz w:val="32"/>
          <w:szCs w:val="32"/>
          <w:lang w:eastAsia="zh-CN"/>
        </w:rPr>
        <w:t>限值要求</w:t>
      </w:r>
      <w:r>
        <w:rPr>
          <w:rFonts w:hint="eastAsia"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仿宋_GB2312" w:cs="Times New Roman"/>
          <w:color w:val="auto"/>
          <w:sz w:val="32"/>
          <w:szCs w:val="32"/>
          <w:lang w:val="zh-CN" w:eastAsia="zh-CN"/>
        </w:rPr>
      </w:pPr>
      <w:r>
        <w:rPr>
          <w:rFonts w:hint="eastAsia" w:eastAsia="仿宋_GB2312"/>
          <w:color w:val="auto"/>
          <w:sz w:val="32"/>
          <w:szCs w:val="32"/>
          <w:lang w:val="en-US" w:eastAsia="zh-CN"/>
        </w:rPr>
        <w:t>6.</w:t>
      </w:r>
      <w:r>
        <w:rPr>
          <w:rFonts w:hint="eastAsia" w:eastAsia="仿宋_GB2312"/>
          <w:color w:val="auto"/>
          <w:sz w:val="32"/>
          <w:szCs w:val="32"/>
        </w:rPr>
        <w:t>做好项目环境风险防范工作。</w:t>
      </w:r>
      <w:r>
        <w:rPr>
          <w:rFonts w:hint="eastAsia" w:ascii="Times New Roman" w:hAnsi="Times New Roman" w:eastAsia="仿宋_GB2312" w:cs="Times New Roman"/>
          <w:color w:val="auto"/>
          <w:sz w:val="32"/>
          <w:szCs w:val="32"/>
          <w:lang w:val="zh-CN" w:eastAsia="zh-CN"/>
        </w:rPr>
        <w:t>建立环境风险应急管理体系，按规定编制突发环境事件应急预案，保证防范环境风险的配套设施的落实。在生产中要严格执行防范环境风险事</w:t>
      </w:r>
      <w:r>
        <w:rPr>
          <w:rFonts w:hint="eastAsia" w:eastAsia="仿宋_GB2312" w:cs="Times New Roman"/>
          <w:color w:val="auto"/>
          <w:sz w:val="32"/>
          <w:szCs w:val="32"/>
          <w:lang w:val="zh-CN" w:eastAsia="zh-CN"/>
        </w:rPr>
        <w:t>故</w:t>
      </w:r>
      <w:r>
        <w:rPr>
          <w:rFonts w:hint="eastAsia" w:ascii="Times New Roman" w:hAnsi="Times New Roman" w:eastAsia="仿宋_GB2312" w:cs="Times New Roman"/>
          <w:color w:val="auto"/>
          <w:sz w:val="32"/>
          <w:szCs w:val="32"/>
          <w:lang w:val="zh-CN" w:eastAsia="zh-CN"/>
        </w:rPr>
        <w:t>的制度和措施，做好运输、贮存和生产等环节的环境风险管理</w:t>
      </w:r>
      <w:r>
        <w:rPr>
          <w:rFonts w:hint="eastAsia"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zh-CN" w:eastAsia="zh-CN"/>
        </w:rPr>
        <w:t>按照突发环境事件应急预案定期开展事件演练;切实加强环境风险设施的日常管理和维护</w:t>
      </w:r>
      <w:r>
        <w:rPr>
          <w:rFonts w:hint="eastAsia"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zh-CN" w:eastAsia="zh-CN"/>
        </w:rPr>
        <w:t>确保应急状态下能</w:t>
      </w:r>
      <w:r>
        <w:rPr>
          <w:rFonts w:hint="eastAsia" w:eastAsia="仿宋_GB2312" w:cs="Times New Roman"/>
          <w:color w:val="auto"/>
          <w:sz w:val="32"/>
          <w:szCs w:val="32"/>
          <w:lang w:val="zh-CN" w:eastAsia="zh-CN"/>
        </w:rPr>
        <w:t>正</w:t>
      </w:r>
      <w:r>
        <w:rPr>
          <w:rFonts w:hint="eastAsia" w:ascii="Times New Roman" w:hAnsi="Times New Roman" w:eastAsia="仿宋_GB2312" w:cs="Times New Roman"/>
          <w:color w:val="auto"/>
          <w:sz w:val="32"/>
          <w:szCs w:val="32"/>
          <w:lang w:val="zh-CN" w:eastAsia="zh-CN"/>
        </w:rPr>
        <w:t>常投入使用</w:t>
      </w:r>
      <w:r>
        <w:rPr>
          <w:rFonts w:hint="eastAsia"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zh-CN" w:eastAsia="zh-CN"/>
        </w:rPr>
        <w:t>一旦出现事故</w:t>
      </w:r>
      <w:r>
        <w:rPr>
          <w:rFonts w:hint="eastAsia" w:eastAsia="仿宋_GB2312" w:cs="Times New Roman"/>
          <w:color w:val="auto"/>
          <w:sz w:val="32"/>
          <w:szCs w:val="32"/>
          <w:lang w:val="zh-CN" w:eastAsia="zh-CN"/>
        </w:rPr>
        <w:t>隐患</w:t>
      </w:r>
      <w:r>
        <w:rPr>
          <w:rFonts w:hint="eastAsia" w:ascii="Times New Roman" w:hAnsi="Times New Roman" w:eastAsia="仿宋_GB2312" w:cs="Times New Roman"/>
          <w:color w:val="auto"/>
          <w:sz w:val="32"/>
          <w:szCs w:val="32"/>
          <w:lang w:val="zh-CN" w:eastAsia="zh-CN"/>
        </w:rPr>
        <w:t>或地下水、</w:t>
      </w:r>
      <w:r>
        <w:rPr>
          <w:rFonts w:hint="eastAsia" w:eastAsia="仿宋_GB2312" w:cs="Times New Roman"/>
          <w:color w:val="auto"/>
          <w:sz w:val="32"/>
          <w:szCs w:val="32"/>
          <w:lang w:val="zh-CN" w:eastAsia="zh-CN"/>
        </w:rPr>
        <w:t>土壤</w:t>
      </w:r>
      <w:r>
        <w:rPr>
          <w:rFonts w:hint="eastAsia" w:ascii="Times New Roman" w:hAnsi="Times New Roman" w:eastAsia="仿宋_GB2312" w:cs="Times New Roman"/>
          <w:color w:val="auto"/>
          <w:sz w:val="32"/>
          <w:szCs w:val="32"/>
          <w:lang w:val="zh-CN" w:eastAsia="zh-CN"/>
        </w:rPr>
        <w:t>异常等环境危害事件，应立即按照突发环境事件应急预案处置，包括停止生产</w:t>
      </w:r>
      <w:r>
        <w:rPr>
          <w:rFonts w:hint="eastAsia"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zh-CN" w:eastAsia="zh-CN"/>
        </w:rPr>
        <w:t>并及时向生态环境部门及相关部门报告。</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7.</w:t>
      </w:r>
      <w:r>
        <w:rPr>
          <w:rFonts w:hint="eastAsia" w:eastAsia="仿宋_GB2312"/>
          <w:color w:val="auto"/>
          <w:sz w:val="32"/>
          <w:szCs w:val="32"/>
        </w:rPr>
        <w:t>建立健全环境管理规章制度，</w:t>
      </w:r>
      <w:r>
        <w:rPr>
          <w:rFonts w:hint="eastAsia" w:eastAsia="仿宋_GB2312"/>
          <w:color w:val="auto"/>
          <w:sz w:val="32"/>
          <w:szCs w:val="32"/>
          <w:lang w:eastAsia="zh-CN"/>
        </w:rPr>
        <w:t>设立环境管理机构，</w:t>
      </w:r>
      <w:r>
        <w:rPr>
          <w:rFonts w:hint="eastAsia" w:eastAsia="仿宋_GB2312"/>
          <w:color w:val="auto"/>
          <w:sz w:val="32"/>
          <w:szCs w:val="32"/>
        </w:rPr>
        <w:t>确定专人负责环保工作。</w:t>
      </w:r>
      <w:r>
        <w:rPr>
          <w:rFonts w:hint="eastAsia" w:eastAsia="仿宋_GB2312"/>
          <w:color w:val="auto"/>
          <w:sz w:val="32"/>
          <w:szCs w:val="32"/>
          <w:lang w:val="en-US" w:eastAsia="zh-CN"/>
        </w:rPr>
        <w:t>落实环境监测计划，定期开展环境监测。</w:t>
      </w:r>
      <w:r>
        <w:rPr>
          <w:rFonts w:hint="eastAsia" w:eastAsia="仿宋_GB2312"/>
          <w:color w:val="auto"/>
          <w:sz w:val="32"/>
          <w:szCs w:val="32"/>
        </w:rPr>
        <w:t>加强对污染治理设施的管理和维护，确保污染治理设施正常运行，污染物稳定达标排放</w:t>
      </w:r>
      <w:r>
        <w:rPr>
          <w:rFonts w:hint="eastAsia"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8.</w:t>
      </w:r>
      <w:r>
        <w:rPr>
          <w:rFonts w:hint="eastAsia" w:eastAsia="仿宋_GB2312"/>
          <w:color w:val="auto"/>
          <w:sz w:val="32"/>
          <w:szCs w:val="32"/>
        </w:rPr>
        <w:t>施工期应按《报告书》要求及相关规定落实废气、废水、噪声等污染防治措施，做好固体废物管理，确保施工期污染物达标排放。</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三</w:t>
      </w:r>
      <w:r>
        <w:rPr>
          <w:rFonts w:hint="eastAsia" w:eastAsia="仿宋_GB2312"/>
          <w:color w:val="auto"/>
          <w:sz w:val="32"/>
          <w:szCs w:val="32"/>
        </w:rPr>
        <w:t>、应当严格执行安全生产各项规定，建立健全安全生产管理制度，将环保设备设施安全作为企业安全管理的重要组成部分，加强环保设备设施相关岗位人员安全培训。严格落实涉环保设备设施新、改、扩建项目环保和安全“三同时”有关要求，委托有资质的设计单位进行正规设计。对</w:t>
      </w:r>
      <w:r>
        <w:rPr>
          <w:rFonts w:hint="eastAsia" w:eastAsia="仿宋_GB2312"/>
          <w:color w:val="auto"/>
          <w:sz w:val="32"/>
          <w:szCs w:val="32"/>
          <w:lang w:eastAsia="zh-CN"/>
        </w:rPr>
        <w:t>废气治理设施、</w:t>
      </w:r>
      <w:r>
        <w:rPr>
          <w:rFonts w:hint="eastAsia" w:eastAsia="仿宋_GB2312"/>
          <w:color w:val="auto"/>
          <w:sz w:val="32"/>
          <w:szCs w:val="32"/>
        </w:rPr>
        <w:t>废水处理单元等重点环保设备设施，</w:t>
      </w:r>
      <w:r>
        <w:rPr>
          <w:rFonts w:hint="eastAsia" w:eastAsia="仿宋_GB2312"/>
          <w:color w:val="auto"/>
          <w:sz w:val="32"/>
          <w:szCs w:val="32"/>
          <w:lang w:eastAsia="zh-CN"/>
        </w:rPr>
        <w:t>开展环保设备设施安全风险辨识评估和隐患排查治理，</w:t>
      </w:r>
      <w:r>
        <w:rPr>
          <w:rFonts w:hint="eastAsia" w:eastAsia="仿宋_GB2312"/>
          <w:color w:val="auto"/>
          <w:sz w:val="32"/>
          <w:szCs w:val="32"/>
        </w:rPr>
        <w:t>落实安全生产各项责任措施</w:t>
      </w:r>
      <w:r>
        <w:rPr>
          <w:rFonts w:hint="eastAsia" w:eastAsia="仿宋_GB2312"/>
          <w:color w:val="auto"/>
          <w:sz w:val="32"/>
          <w:szCs w:val="32"/>
          <w:lang w:eastAsia="zh-CN"/>
        </w:rPr>
        <w:t>，</w:t>
      </w:r>
      <w:r>
        <w:rPr>
          <w:rFonts w:hint="eastAsia" w:eastAsia="仿宋_GB2312"/>
          <w:color w:val="auto"/>
          <w:sz w:val="32"/>
          <w:szCs w:val="32"/>
        </w:rPr>
        <w:t>做好安全防范。</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四</w:t>
      </w:r>
      <w:r>
        <w:rPr>
          <w:rFonts w:hint="eastAsia" w:eastAsia="仿宋_GB2312"/>
          <w:color w:val="auto"/>
          <w:sz w:val="32"/>
          <w:szCs w:val="32"/>
        </w:rPr>
        <w:t>、建设项目必须严格执行环境保护“三同时”制度。项目规划设计应同步落实防治环境污染和生态破坏措施设计，保证环境保护设施投入。环保设施建设必须纳入施工合同，保证环保设施建设进度和资金投入。</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五、</w:t>
      </w:r>
      <w:r>
        <w:rPr>
          <w:rFonts w:hint="eastAsia" w:eastAsia="仿宋_GB2312"/>
          <w:color w:val="auto"/>
          <w:sz w:val="32"/>
          <w:szCs w:val="32"/>
        </w:rPr>
        <w:t>《报告书》经批准后，如项目的性质、规模、地点、采用的生产工艺或防治污染的措施发生重大变动的，应依法重新报批项目的环境影响评价文件。超过五年方决定该项目开工建设的，应依法报我局重新审核。</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六</w:t>
      </w:r>
      <w:r>
        <w:rPr>
          <w:rFonts w:hint="eastAsia" w:eastAsia="仿宋_GB2312"/>
          <w:color w:val="auto"/>
          <w:sz w:val="32"/>
          <w:szCs w:val="32"/>
        </w:rPr>
        <w:t>、国家对本项目应执行的环境标准作出修订或新颁布的要求，执行新标准和新要求。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lang w:val="en-US" w:eastAsia="zh-CN"/>
        </w:rPr>
        <w:t>七、</w:t>
      </w:r>
      <w:r>
        <w:rPr>
          <w:rFonts w:hint="eastAsia" w:eastAsia="仿宋_GB2312"/>
          <w:color w:val="auto"/>
          <w:sz w:val="32"/>
          <w:szCs w:val="32"/>
        </w:rPr>
        <w:t>项</w:t>
      </w:r>
      <w:r>
        <w:rPr>
          <w:rFonts w:hint="eastAsia" w:eastAsia="仿宋_GB2312"/>
          <w:color w:val="auto"/>
          <w:sz w:val="32"/>
          <w:szCs w:val="32"/>
          <w:highlight w:val="none"/>
        </w:rPr>
        <w:t>目主要污染物总量控制指标：化学需氧量</w:t>
      </w:r>
      <w:r>
        <w:rPr>
          <w:rFonts w:hint="eastAsia" w:eastAsia="仿宋_GB2312"/>
          <w:color w:val="auto"/>
          <w:sz w:val="32"/>
          <w:szCs w:val="32"/>
          <w:highlight w:val="none"/>
          <w:lang w:val="en-US" w:eastAsia="zh-CN"/>
        </w:rPr>
        <w:t>6.2171</w:t>
      </w:r>
      <w:r>
        <w:rPr>
          <w:rFonts w:hint="eastAsia" w:eastAsia="仿宋_GB2312"/>
          <w:color w:val="auto"/>
          <w:sz w:val="32"/>
          <w:szCs w:val="32"/>
          <w:highlight w:val="none"/>
        </w:rPr>
        <w:t>吨/年、氨氮</w:t>
      </w:r>
      <w:r>
        <w:rPr>
          <w:rFonts w:hint="eastAsia" w:eastAsia="仿宋_GB2312"/>
          <w:color w:val="auto"/>
          <w:sz w:val="32"/>
          <w:szCs w:val="32"/>
          <w:highlight w:val="none"/>
          <w:lang w:val="en-US" w:eastAsia="zh-CN"/>
        </w:rPr>
        <w:t>0.6217</w:t>
      </w:r>
      <w:r>
        <w:rPr>
          <w:rFonts w:hint="eastAsia" w:eastAsia="仿宋_GB2312"/>
          <w:color w:val="auto"/>
          <w:sz w:val="32"/>
          <w:szCs w:val="32"/>
          <w:highlight w:val="none"/>
        </w:rPr>
        <w:t>吨/年</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氮氧化物8.2029吨/年</w:t>
      </w:r>
      <w:r>
        <w:rPr>
          <w:rFonts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lang w:val="en-US" w:eastAsia="zh-CN"/>
        </w:rPr>
        <w:t>八、</w:t>
      </w:r>
      <w:r>
        <w:rPr>
          <w:rFonts w:hint="eastAsia" w:eastAsia="仿宋_GB2312"/>
          <w:color w:val="auto"/>
          <w:sz w:val="32"/>
          <w:szCs w:val="32"/>
        </w:rPr>
        <w:t>该项目投入生产或使用并产生实际排污行为之前，</w:t>
      </w:r>
      <w:r>
        <w:rPr>
          <w:rFonts w:ascii="Times New Roman" w:hAnsi="Times New Roman" w:eastAsia="仿宋_GB2312" w:cs="Times New Roman"/>
          <w:color w:val="auto"/>
          <w:sz w:val="32"/>
          <w:szCs w:val="32"/>
        </w:rPr>
        <w:t>须按《固定污染源排污许可分类管理名录》申领排污许可证。</w:t>
      </w:r>
      <w:r>
        <w:rPr>
          <w:rFonts w:hint="eastAsia" w:eastAsia="仿宋_GB2312" w:cs="Times New Roman"/>
          <w:color w:val="auto"/>
          <w:sz w:val="32"/>
          <w:szCs w:val="32"/>
          <w:lang w:eastAsia="zh-CN"/>
        </w:rPr>
        <w:t>按照《安徽关于深化排污权交易改革工作的意见》及配套办法规定，在申请取得排污许可证前，通过市场交易的方式有偿获取氮氧化物排污权指标。</w:t>
      </w:r>
      <w:bookmarkStart w:id="1" w:name="_GoBack"/>
      <w:bookmarkEnd w:id="1"/>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九</w:t>
      </w:r>
      <w:r>
        <w:rPr>
          <w:rFonts w:hint="eastAsia" w:eastAsia="仿宋_GB2312"/>
          <w:color w:val="auto"/>
          <w:sz w:val="32"/>
          <w:szCs w:val="32"/>
        </w:rPr>
        <w:t>、该项目建成后，应按照法定程序和要求及时开展建设项目竣工环境保护验收和验收信息报送工作，并依法依规公开相关信息。</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十</w:t>
      </w:r>
      <w:r>
        <w:rPr>
          <w:rFonts w:hint="eastAsia" w:eastAsia="仿宋_GB2312"/>
          <w:color w:val="auto"/>
          <w:sz w:val="32"/>
          <w:szCs w:val="32"/>
        </w:rPr>
        <w:t>、项目实施过程中应依法严格执行相关主管部门规定，取得法定许可后方可开工。</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rPr>
      </w:pPr>
      <w:r>
        <w:rPr>
          <w:rFonts w:hint="eastAsia" w:eastAsia="仿宋_GB2312"/>
          <w:color w:val="auto"/>
          <w:sz w:val="32"/>
          <w:szCs w:val="32"/>
        </w:rPr>
        <w:t>十</w:t>
      </w:r>
      <w:r>
        <w:rPr>
          <w:rFonts w:hint="eastAsia" w:eastAsia="仿宋_GB2312"/>
          <w:color w:val="auto"/>
          <w:sz w:val="32"/>
          <w:szCs w:val="32"/>
          <w:lang w:val="en-US" w:eastAsia="zh-CN"/>
        </w:rPr>
        <w:t>一</w:t>
      </w:r>
      <w:r>
        <w:rPr>
          <w:rFonts w:hint="eastAsia" w:eastAsia="仿宋_GB2312"/>
          <w:color w:val="auto"/>
          <w:sz w:val="32"/>
          <w:szCs w:val="32"/>
        </w:rPr>
        <w:t>、</w:t>
      </w:r>
      <w:r>
        <w:rPr>
          <w:rFonts w:hint="eastAsia" w:eastAsia="仿宋_GB2312"/>
          <w:color w:val="auto"/>
          <w:sz w:val="32"/>
          <w:szCs w:val="32"/>
          <w:lang w:val="en-US" w:eastAsia="zh-CN"/>
        </w:rPr>
        <w:t>请安徽黄山太平经济开发区管理委员会加强项目属地生态环境管理，黄山</w:t>
      </w:r>
      <w:r>
        <w:rPr>
          <w:rFonts w:hint="eastAsia" w:ascii="Times New Roman" w:hAnsi="Times New Roman" w:eastAsia="仿宋_GB2312" w:cs="Times New Roman"/>
          <w:b w:val="0"/>
          <w:bCs w:val="0"/>
          <w:color w:val="auto"/>
          <w:kern w:val="2"/>
          <w:sz w:val="32"/>
          <w:szCs w:val="32"/>
          <w:lang w:val="en-US" w:eastAsia="zh-CN" w:bidi="ar-SA"/>
        </w:rPr>
        <w:t>市生态环境保护综合行政执法支队、</w:t>
      </w:r>
      <w:r>
        <w:rPr>
          <w:rFonts w:hint="eastAsia" w:eastAsia="仿宋_GB2312"/>
          <w:color w:val="auto"/>
          <w:sz w:val="32"/>
          <w:szCs w:val="32"/>
          <w:lang w:eastAsia="zh-CN"/>
        </w:rPr>
        <w:t>黄山区</w:t>
      </w:r>
      <w:r>
        <w:rPr>
          <w:rFonts w:hint="eastAsia" w:eastAsia="仿宋_GB2312"/>
          <w:color w:val="auto"/>
          <w:sz w:val="32"/>
          <w:szCs w:val="32"/>
        </w:rPr>
        <w:t>生态环境分局负责该项目环保“三同时”日常监督管理工作。</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pacing w:line="580" w:lineRule="exact"/>
        <w:ind w:firstLine="4800" w:firstLineChars="1500"/>
        <w:textAlignment w:val="auto"/>
        <w:rPr>
          <w:rFonts w:hint="default" w:eastAsia="仿宋_GB2312"/>
          <w:color w:val="auto"/>
          <w:sz w:val="32"/>
          <w:szCs w:val="32"/>
          <w:lang w:val="en-US" w:eastAsia="zh-CN"/>
        </w:rPr>
      </w:pPr>
      <w:r>
        <w:rPr>
          <w:rFonts w:hint="eastAsia" w:eastAsia="仿宋_GB2312"/>
          <w:color w:val="auto"/>
          <w:sz w:val="32"/>
          <w:szCs w:val="32"/>
        </w:rPr>
        <w:t>202</w:t>
      </w:r>
      <w:r>
        <w:rPr>
          <w:rFonts w:hint="eastAsia" w:eastAsia="仿宋_GB2312"/>
          <w:color w:val="auto"/>
          <w:sz w:val="32"/>
          <w:szCs w:val="32"/>
          <w:lang w:val="en-US" w:eastAsia="zh-CN"/>
        </w:rPr>
        <w:t>6</w:t>
      </w:r>
      <w:r>
        <w:rPr>
          <w:rFonts w:hint="eastAsia" w:eastAsia="仿宋_GB2312"/>
          <w:color w:val="auto"/>
          <w:sz w:val="32"/>
          <w:szCs w:val="32"/>
        </w:rPr>
        <w:t>年</w:t>
      </w:r>
      <w:r>
        <w:rPr>
          <w:rFonts w:hint="eastAsia" w:eastAsia="仿宋_GB2312"/>
          <w:color w:val="auto"/>
          <w:sz w:val="32"/>
          <w:szCs w:val="32"/>
          <w:lang w:val="en-US" w:eastAsia="zh-CN"/>
        </w:rPr>
        <w:t>1</w:t>
      </w:r>
      <w:r>
        <w:rPr>
          <w:rFonts w:hint="eastAsia" w:eastAsia="仿宋_GB2312"/>
          <w:color w:val="auto"/>
          <w:sz w:val="32"/>
          <w:szCs w:val="32"/>
        </w:rPr>
        <w:t>月</w:t>
      </w:r>
      <w:r>
        <w:rPr>
          <w:rFonts w:hint="eastAsia" w:eastAsia="仿宋_GB2312"/>
          <w:color w:val="auto"/>
          <w:sz w:val="32"/>
          <w:szCs w:val="32"/>
          <w:lang w:val="en-US" w:eastAsia="zh-CN"/>
        </w:rPr>
        <w:t>28</w:t>
      </w:r>
      <w:r>
        <w:rPr>
          <w:rFonts w:hint="eastAsia" w:eastAsia="仿宋_GB2312"/>
          <w:color w:val="auto"/>
          <w:sz w:val="32"/>
          <w:szCs w:val="32"/>
        </w:rPr>
        <w:t>日</w:t>
      </w:r>
      <w:r>
        <w:rPr>
          <w:rFonts w:hint="eastAsia" w:eastAsia="仿宋_GB2312"/>
          <w:color w:val="auto"/>
          <w:sz w:val="32"/>
          <w:szCs w:val="32"/>
          <w:lang w:val="en-US" w:eastAsia="zh-CN"/>
        </w:rPr>
        <w:t xml:space="preserve">  </w:t>
      </w:r>
    </w:p>
    <w:p>
      <w:pPr>
        <w:pStyle w:val="3"/>
        <w:rPr>
          <w:rFonts w:hint="eastAsia" w:eastAsia="仿宋_GB2312"/>
          <w:color w:val="auto"/>
          <w:sz w:val="32"/>
          <w:szCs w:val="32"/>
        </w:rPr>
      </w:pPr>
    </w:p>
    <w:p>
      <w:pPr>
        <w:pStyle w:val="3"/>
        <w:rPr>
          <w:rFonts w:hint="eastAsia" w:eastAsia="仿宋_GB2312"/>
          <w:color w:val="auto"/>
          <w:sz w:val="32"/>
          <w:szCs w:val="32"/>
        </w:rPr>
      </w:pPr>
    </w:p>
    <w:p>
      <w:pPr>
        <w:pStyle w:val="3"/>
        <w:rPr>
          <w:rFonts w:hint="eastAsia" w:eastAsia="仿宋_GB2312"/>
          <w:color w:val="auto"/>
          <w:sz w:val="32"/>
          <w:szCs w:val="32"/>
        </w:rPr>
      </w:pPr>
    </w:p>
    <w:p>
      <w:pPr>
        <w:pStyle w:val="3"/>
        <w:rPr>
          <w:rFonts w:hint="eastAsia" w:eastAsia="仿宋_GB2312"/>
          <w:color w:val="auto"/>
          <w:sz w:val="32"/>
          <w:szCs w:val="32"/>
        </w:rPr>
      </w:pPr>
    </w:p>
    <w:p>
      <w:pPr>
        <w:pStyle w:val="3"/>
        <w:rPr>
          <w:rFonts w:hint="eastAsia" w:eastAsia="仿宋_GB2312"/>
          <w:color w:val="auto"/>
          <w:sz w:val="32"/>
          <w:szCs w:val="32"/>
        </w:rPr>
      </w:pPr>
    </w:p>
    <w:p>
      <w:pPr>
        <w:pStyle w:val="3"/>
        <w:rPr>
          <w:rFonts w:hint="eastAsia" w:eastAsia="仿宋_GB2312"/>
          <w:color w:val="auto"/>
          <w:sz w:val="32"/>
          <w:szCs w:val="32"/>
        </w:rPr>
      </w:pPr>
    </w:p>
    <w:p>
      <w:pPr>
        <w:pStyle w:val="3"/>
        <w:rPr>
          <w:rFonts w:hint="eastAsia" w:eastAsia="仿宋_GB2312"/>
          <w:color w:val="auto"/>
          <w:sz w:val="32"/>
          <w:szCs w:val="32"/>
        </w:rPr>
      </w:pPr>
    </w:p>
    <w:p>
      <w:pPr>
        <w:pStyle w:val="3"/>
        <w:rPr>
          <w:rFonts w:hint="eastAsia" w:eastAsia="仿宋_GB2312"/>
          <w:color w:val="auto"/>
          <w:sz w:val="32"/>
          <w:szCs w:val="32"/>
        </w:rPr>
      </w:pPr>
    </w:p>
    <w:p>
      <w:pPr>
        <w:pStyle w:val="3"/>
        <w:rPr>
          <w:rFonts w:hint="eastAsia" w:eastAsia="仿宋_GB2312"/>
          <w:color w:val="auto"/>
          <w:sz w:val="32"/>
          <w:szCs w:val="32"/>
        </w:rPr>
      </w:pPr>
    </w:p>
    <w:p>
      <w:pPr>
        <w:pStyle w:val="3"/>
        <w:rPr>
          <w:rFonts w:hint="eastAsia" w:eastAsia="仿宋_GB2312"/>
          <w:color w:val="auto"/>
          <w:sz w:val="32"/>
          <w:szCs w:val="32"/>
        </w:rPr>
      </w:pPr>
    </w:p>
    <w:p>
      <w:pPr>
        <w:pStyle w:val="3"/>
        <w:rPr>
          <w:rFonts w:hint="eastAsia" w:eastAsia="仿宋_GB2312"/>
          <w:color w:val="auto"/>
          <w:sz w:val="32"/>
          <w:szCs w:val="32"/>
        </w:rPr>
      </w:pPr>
    </w:p>
    <w:p>
      <w:pPr>
        <w:pStyle w:val="3"/>
        <w:rPr>
          <w:rFonts w:hint="eastAsia" w:eastAsia="仿宋_GB2312"/>
          <w:color w:val="auto"/>
          <w:sz w:val="32"/>
          <w:szCs w:val="32"/>
        </w:rPr>
      </w:pPr>
    </w:p>
    <w:tbl>
      <w:tblPr>
        <w:tblStyle w:val="14"/>
        <w:tblpPr w:leftFromText="180" w:rightFromText="180" w:vertAnchor="text" w:horzAnchor="page" w:tblpX="1533" w:tblpY="432"/>
        <w:tblOverlap w:val="never"/>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8580"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1050" w:leftChars="100" w:hanging="840" w:hangingChars="300"/>
              <w:textAlignment w:val="auto"/>
              <w:rPr>
                <w:rFonts w:eastAsia="仿宋_GB2312"/>
                <w:color w:val="auto"/>
                <w:sz w:val="28"/>
                <w:szCs w:val="28"/>
              </w:rPr>
            </w:pPr>
            <w:r>
              <w:rPr>
                <w:rFonts w:eastAsia="仿宋_GB2312"/>
                <w:color w:val="auto"/>
                <w:sz w:val="28"/>
                <w:szCs w:val="28"/>
              </w:rPr>
              <w:t>抄送</w:t>
            </w:r>
            <w:r>
              <w:rPr>
                <w:rFonts w:hint="eastAsia" w:eastAsia="仿宋_GB2312"/>
                <w:color w:val="auto"/>
                <w:sz w:val="28"/>
                <w:szCs w:val="28"/>
                <w:lang w:val="zh-CN" w:eastAsia="zh-CN"/>
              </w:rPr>
              <w:t>：安徽黄山太平经济开发区管理委员会、黄山</w:t>
            </w:r>
            <w:r>
              <w:rPr>
                <w:rFonts w:hint="eastAsia" w:ascii="Times New Roman" w:hAnsi="Times New Roman" w:eastAsia="仿宋_GB2312" w:cs="Times New Roman"/>
                <w:color w:val="auto"/>
                <w:sz w:val="28"/>
                <w:szCs w:val="28"/>
                <w:lang w:val="en-US" w:eastAsia="zh-CN"/>
              </w:rPr>
              <w:t>市生态环境保护综合行政执法支队、</w:t>
            </w:r>
            <w:r>
              <w:rPr>
                <w:rFonts w:hint="eastAsia" w:eastAsia="仿宋_GB2312" w:cs="Times New Roman"/>
                <w:color w:val="auto"/>
                <w:sz w:val="28"/>
                <w:szCs w:val="28"/>
                <w:lang w:val="en-US" w:eastAsia="zh-CN"/>
              </w:rPr>
              <w:t>黄山区</w:t>
            </w:r>
            <w:r>
              <w:rPr>
                <w:rFonts w:hint="eastAsia" w:ascii="Times New Roman" w:hAnsi="Times New Roman" w:eastAsia="仿宋_GB2312" w:cs="Times New Roman"/>
                <w:color w:val="auto"/>
                <w:sz w:val="28"/>
                <w:szCs w:val="28"/>
                <w:lang w:val="zh-CN" w:eastAsia="zh-CN"/>
              </w:rPr>
              <w:t>生态环境分局</w:t>
            </w:r>
            <w:r>
              <w:rPr>
                <w:rFonts w:hint="eastAsia" w:eastAsia="仿宋_GB2312" w:cs="Times New Roman"/>
                <w:color w:val="auto"/>
                <w:sz w:val="28"/>
                <w:szCs w:val="28"/>
                <w:lang w:val="zh-CN" w:eastAsia="zh-CN"/>
              </w:rPr>
              <w:t>、</w:t>
            </w:r>
            <w:r>
              <w:rPr>
                <w:rFonts w:hint="eastAsia" w:eastAsia="仿宋_GB2312" w:cs="Times New Roman"/>
                <w:color w:val="auto"/>
                <w:sz w:val="28"/>
                <w:szCs w:val="28"/>
                <w:lang w:val="en-US" w:eastAsia="zh-CN"/>
              </w:rPr>
              <w:t>浙江环耀环境建设有限公司</w:t>
            </w:r>
            <w:r>
              <w:rPr>
                <w:rFonts w:hint="eastAsia" w:ascii="Times New Roman" w:hAnsi="Times New Roman" w:eastAsia="仿宋_GB2312" w:cs="Times New Roman"/>
                <w:color w:val="auto"/>
                <w:sz w:val="28"/>
                <w:szCs w:val="28"/>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80"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140" w:firstLineChars="50"/>
              <w:textAlignment w:val="auto"/>
              <w:rPr>
                <w:rFonts w:eastAsia="仿宋_GB2312"/>
                <w:color w:val="auto"/>
                <w:sz w:val="28"/>
                <w:szCs w:val="28"/>
              </w:rPr>
            </w:pPr>
            <w:r>
              <w:rPr>
                <w:rFonts w:eastAsia="仿宋_GB2312"/>
                <w:color w:val="auto"/>
                <w:sz w:val="28"/>
                <w:szCs w:val="28"/>
              </w:rPr>
              <w:t xml:space="preserve">黄山市生态环境局                    </w:t>
            </w:r>
            <w:r>
              <w:rPr>
                <w:rFonts w:eastAsia="仿宋_GB2312"/>
                <w:color w:val="auto"/>
                <w:sz w:val="28"/>
                <w:szCs w:val="28"/>
              </w:rPr>
              <w:t>202</w:t>
            </w:r>
            <w:r>
              <w:rPr>
                <w:rFonts w:hint="eastAsia" w:eastAsia="仿宋_GB2312"/>
                <w:color w:val="auto"/>
                <w:sz w:val="28"/>
                <w:szCs w:val="28"/>
                <w:lang w:val="en-US" w:eastAsia="zh-CN"/>
              </w:rPr>
              <w:t>6</w:t>
            </w:r>
            <w:r>
              <w:rPr>
                <w:rFonts w:eastAsia="仿宋_GB2312"/>
                <w:color w:val="auto"/>
                <w:sz w:val="28"/>
                <w:szCs w:val="28"/>
              </w:rPr>
              <w:t>年</w:t>
            </w:r>
            <w:r>
              <w:rPr>
                <w:rFonts w:hint="eastAsia" w:eastAsia="仿宋_GB2312"/>
                <w:color w:val="auto"/>
                <w:sz w:val="28"/>
                <w:szCs w:val="28"/>
                <w:lang w:val="en-US" w:eastAsia="zh-CN"/>
              </w:rPr>
              <w:t>1</w:t>
            </w:r>
            <w:r>
              <w:rPr>
                <w:rFonts w:eastAsia="仿宋_GB2312"/>
                <w:color w:val="auto"/>
                <w:sz w:val="28"/>
                <w:szCs w:val="28"/>
              </w:rPr>
              <w:t>月</w:t>
            </w:r>
            <w:r>
              <w:rPr>
                <w:rFonts w:hint="eastAsia" w:eastAsia="仿宋_GB2312"/>
                <w:color w:val="auto"/>
                <w:sz w:val="28"/>
                <w:szCs w:val="28"/>
                <w:lang w:val="en-US" w:eastAsia="zh-CN"/>
              </w:rPr>
              <w:t>28</w:t>
            </w:r>
            <w:r>
              <w:rPr>
                <w:rFonts w:eastAsia="仿宋_GB2312"/>
                <w:color w:val="auto"/>
                <w:sz w:val="28"/>
                <w:szCs w:val="28"/>
              </w:rPr>
              <w:t>日印发</w:t>
            </w:r>
          </w:p>
        </w:tc>
      </w:tr>
    </w:tbl>
    <w:p>
      <w:pPr>
        <w:pStyle w:val="3"/>
        <w:rPr>
          <w:rFonts w:hint="eastAsia" w:eastAsia="仿宋_GB2312"/>
          <w:color w:val="auto"/>
          <w:sz w:val="32"/>
          <w:szCs w:val="32"/>
        </w:rPr>
      </w:pP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 xml:space="preserve"> </w:t>
      </w:r>
    </w:p>
    <w:sectPr>
      <w:footerReference r:id="rId3" w:type="default"/>
      <w:footerReference r:id="rId4" w:type="even"/>
      <w:pgSz w:w="11906" w:h="16838"/>
      <w:pgMar w:top="1985" w:right="1797" w:bottom="1134" w:left="1797" w:header="851" w:footer="79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73E5"/>
    <w:rsid w:val="0044004A"/>
    <w:rsid w:val="00441D4C"/>
    <w:rsid w:val="00443255"/>
    <w:rsid w:val="00446942"/>
    <w:rsid w:val="004476E5"/>
    <w:rsid w:val="00453AF3"/>
    <w:rsid w:val="00454543"/>
    <w:rsid w:val="00463E55"/>
    <w:rsid w:val="00465206"/>
    <w:rsid w:val="00470176"/>
    <w:rsid w:val="00470E89"/>
    <w:rsid w:val="004755C4"/>
    <w:rsid w:val="004777BA"/>
    <w:rsid w:val="0048027A"/>
    <w:rsid w:val="00480C70"/>
    <w:rsid w:val="004813D1"/>
    <w:rsid w:val="00486718"/>
    <w:rsid w:val="00490B3F"/>
    <w:rsid w:val="00491DA6"/>
    <w:rsid w:val="0049594A"/>
    <w:rsid w:val="00495EB7"/>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6654"/>
    <w:rsid w:val="00786E45"/>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387C"/>
    <w:rsid w:val="007F17A9"/>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A0AAB"/>
    <w:rsid w:val="008A2AA6"/>
    <w:rsid w:val="008A4394"/>
    <w:rsid w:val="008A7009"/>
    <w:rsid w:val="008B3EBD"/>
    <w:rsid w:val="008C2A2A"/>
    <w:rsid w:val="008C41A0"/>
    <w:rsid w:val="008C6F24"/>
    <w:rsid w:val="008C7FCB"/>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FB7"/>
    <w:rsid w:val="00934169"/>
    <w:rsid w:val="009356C8"/>
    <w:rsid w:val="00937263"/>
    <w:rsid w:val="0094087E"/>
    <w:rsid w:val="00941847"/>
    <w:rsid w:val="009423EE"/>
    <w:rsid w:val="009432F0"/>
    <w:rsid w:val="00943611"/>
    <w:rsid w:val="00944CDD"/>
    <w:rsid w:val="00946BA3"/>
    <w:rsid w:val="009529C5"/>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E1C37"/>
    <w:rsid w:val="00CE1C5C"/>
    <w:rsid w:val="00CE3B51"/>
    <w:rsid w:val="00CE5E63"/>
    <w:rsid w:val="00CF1F13"/>
    <w:rsid w:val="00CF2B66"/>
    <w:rsid w:val="00CF381D"/>
    <w:rsid w:val="00CF695F"/>
    <w:rsid w:val="00CF78B9"/>
    <w:rsid w:val="00D0252E"/>
    <w:rsid w:val="00D02E35"/>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2198"/>
    <w:rsid w:val="00DD2E8F"/>
    <w:rsid w:val="00DD365F"/>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73740"/>
    <w:rsid w:val="00E74739"/>
    <w:rsid w:val="00E74CD3"/>
    <w:rsid w:val="00E75614"/>
    <w:rsid w:val="00E76F7A"/>
    <w:rsid w:val="00E82EB8"/>
    <w:rsid w:val="00E8525A"/>
    <w:rsid w:val="00E85C7C"/>
    <w:rsid w:val="00E87520"/>
    <w:rsid w:val="00E912F6"/>
    <w:rsid w:val="00EA5467"/>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96CF0"/>
    <w:rsid w:val="230C5CE8"/>
    <w:rsid w:val="24190515"/>
    <w:rsid w:val="24426B02"/>
    <w:rsid w:val="24491E4E"/>
    <w:rsid w:val="261F21D6"/>
    <w:rsid w:val="266F09BF"/>
    <w:rsid w:val="276E7A08"/>
    <w:rsid w:val="27DB1A59"/>
    <w:rsid w:val="28193786"/>
    <w:rsid w:val="28837790"/>
    <w:rsid w:val="28DA522C"/>
    <w:rsid w:val="28FB4835"/>
    <w:rsid w:val="2918284B"/>
    <w:rsid w:val="2A313896"/>
    <w:rsid w:val="2B206969"/>
    <w:rsid w:val="2BEE242F"/>
    <w:rsid w:val="2CC81B9C"/>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05152D"/>
    <w:rsid w:val="38FE4203"/>
    <w:rsid w:val="39385A7A"/>
    <w:rsid w:val="39513FFD"/>
    <w:rsid w:val="3A1351FB"/>
    <w:rsid w:val="3A3C4D2A"/>
    <w:rsid w:val="3BF861C1"/>
    <w:rsid w:val="3C065F73"/>
    <w:rsid w:val="3C834E15"/>
    <w:rsid w:val="3D525856"/>
    <w:rsid w:val="3DAF5796"/>
    <w:rsid w:val="3DBC2243"/>
    <w:rsid w:val="3DD75419"/>
    <w:rsid w:val="3DDF71DA"/>
    <w:rsid w:val="3DFD798D"/>
    <w:rsid w:val="3F4D3010"/>
    <w:rsid w:val="407A652F"/>
    <w:rsid w:val="40972C3D"/>
    <w:rsid w:val="41201211"/>
    <w:rsid w:val="413466DE"/>
    <w:rsid w:val="41EE2D31"/>
    <w:rsid w:val="41F8595E"/>
    <w:rsid w:val="422E312E"/>
    <w:rsid w:val="43EE526A"/>
    <w:rsid w:val="44004B72"/>
    <w:rsid w:val="4401121A"/>
    <w:rsid w:val="46307D9C"/>
    <w:rsid w:val="46892EE1"/>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6A4B22"/>
    <w:rsid w:val="5C875E04"/>
    <w:rsid w:val="5CD301CA"/>
    <w:rsid w:val="5CD904EA"/>
    <w:rsid w:val="5D810F9D"/>
    <w:rsid w:val="5E270513"/>
    <w:rsid w:val="5E2F11F8"/>
    <w:rsid w:val="5E710B1A"/>
    <w:rsid w:val="5F322057"/>
    <w:rsid w:val="61023231"/>
    <w:rsid w:val="62020179"/>
    <w:rsid w:val="64874BF3"/>
    <w:rsid w:val="65927696"/>
    <w:rsid w:val="65953340"/>
    <w:rsid w:val="66091638"/>
    <w:rsid w:val="66C11F13"/>
    <w:rsid w:val="66FE4F15"/>
    <w:rsid w:val="678F5E1A"/>
    <w:rsid w:val="67915D89"/>
    <w:rsid w:val="688E4077"/>
    <w:rsid w:val="68EE4E19"/>
    <w:rsid w:val="69184564"/>
    <w:rsid w:val="69F36887"/>
    <w:rsid w:val="6A8671F8"/>
    <w:rsid w:val="6AB94295"/>
    <w:rsid w:val="6AFD3034"/>
    <w:rsid w:val="6D211EB4"/>
    <w:rsid w:val="6DFA6E05"/>
    <w:rsid w:val="6E7D7067"/>
    <w:rsid w:val="6F173018"/>
    <w:rsid w:val="6F9C5FFE"/>
    <w:rsid w:val="6FB92BD4"/>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27CFD"/>
    <w:rsid w:val="79E63D12"/>
    <w:rsid w:val="7B354F51"/>
    <w:rsid w:val="7B753526"/>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locked/>
    <w:uiPriority w:val="0"/>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link w:val="28"/>
    <w:qFormat/>
    <w:uiPriority w:val="0"/>
    <w:pPr>
      <w:ind w:firstLine="420" w:firstLineChars="200"/>
    </w:pPr>
    <w:rPr>
      <w:kern w:val="0"/>
      <w:sz w:val="24"/>
      <w:szCs w:val="20"/>
    </w:rPr>
  </w:style>
  <w:style w:type="paragraph" w:customStyle="1" w:styleId="3">
    <w:name w:val="附图图片"/>
    <w:basedOn w:val="1"/>
    <w:qFormat/>
    <w:uiPriority w:val="0"/>
    <w:pPr>
      <w:spacing w:before="100" w:beforeLines="100"/>
      <w:jc w:val="center"/>
    </w:pPr>
    <w:rPr>
      <w:rFonts w:eastAsia="楷体"/>
      <w:sz w:val="24"/>
    </w:rPr>
  </w:style>
  <w:style w:type="paragraph" w:styleId="6">
    <w:name w:val="annotation text"/>
    <w:basedOn w:val="1"/>
    <w:link w:val="29"/>
    <w:semiHidden/>
    <w:qFormat/>
    <w:uiPriority w:val="0"/>
    <w:pPr>
      <w:jc w:val="left"/>
    </w:pPr>
    <w:rPr>
      <w:szCs w:val="21"/>
    </w:rPr>
  </w:style>
  <w:style w:type="paragraph" w:styleId="7">
    <w:name w:val="Body Text"/>
    <w:basedOn w:val="1"/>
    <w:next w:val="1"/>
    <w:qFormat/>
    <w:uiPriority w:val="0"/>
    <w:pPr>
      <w:spacing w:after="120"/>
    </w:pPr>
  </w:style>
  <w:style w:type="paragraph" w:styleId="8">
    <w:name w:val="Date"/>
    <w:basedOn w:val="1"/>
    <w:next w:val="1"/>
    <w:link w:val="30"/>
    <w:qFormat/>
    <w:uiPriority w:val="0"/>
    <w:pPr>
      <w:ind w:left="100" w:leftChars="2500"/>
    </w:pPr>
    <w:rPr>
      <w:sz w:val="24"/>
    </w:rPr>
  </w:style>
  <w:style w:type="paragraph" w:styleId="9">
    <w:name w:val="Body Text Indent 2"/>
    <w:basedOn w:val="1"/>
    <w:link w:val="31"/>
    <w:qFormat/>
    <w:uiPriority w:val="0"/>
    <w:pPr>
      <w:spacing w:line="590" w:lineRule="exact"/>
      <w:ind w:firstLine="880" w:firstLineChars="200"/>
    </w:pPr>
    <w:rPr>
      <w:rFonts w:eastAsia="方正仿宋_GBK"/>
    </w:rPr>
  </w:style>
  <w:style w:type="paragraph" w:styleId="10">
    <w:name w:val="footer"/>
    <w:basedOn w:val="1"/>
    <w:link w:val="32"/>
    <w:qFormat/>
    <w:uiPriority w:val="0"/>
    <w:pPr>
      <w:tabs>
        <w:tab w:val="center" w:pos="4153"/>
        <w:tab w:val="right" w:pos="8306"/>
      </w:tabs>
      <w:snapToGrid w:val="0"/>
      <w:jc w:val="left"/>
    </w:pPr>
    <w:rPr>
      <w:sz w:val="18"/>
      <w:szCs w:val="20"/>
    </w:rPr>
  </w:style>
  <w:style w:type="paragraph" w:styleId="11">
    <w:name w:val="header"/>
    <w:basedOn w:val="1"/>
    <w:link w:val="33"/>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locked/>
    <w:uiPriority w:val="0"/>
    <w:rPr>
      <w:rFonts w:cs="Times New Roman"/>
      <w:b/>
      <w:bCs/>
    </w:rPr>
  </w:style>
  <w:style w:type="character" w:styleId="18">
    <w:name w:val="page number"/>
    <w:qFormat/>
    <w:uiPriority w:val="0"/>
    <w:rPr>
      <w:rFonts w:cs="Times New Roman"/>
    </w:rPr>
  </w:style>
  <w:style w:type="character" w:styleId="19">
    <w:name w:val="Emphasis"/>
    <w:qFormat/>
    <w:locked/>
    <w:uiPriority w:val="0"/>
    <w:rPr>
      <w:rFonts w:cs="Times New Roman"/>
      <w:i/>
      <w:iCs/>
    </w:rPr>
  </w:style>
  <w:style w:type="character" w:styleId="20">
    <w:name w:val="Hyperlink"/>
    <w:qFormat/>
    <w:uiPriority w:val="0"/>
    <w:rPr>
      <w:rFonts w:ascii="微软雅黑" w:hAnsi="微软雅黑" w:eastAsia="微软雅黑"/>
      <w:color w:val="000000"/>
      <w:sz w:val="18"/>
      <w:u w:val="none"/>
    </w:rPr>
  </w:style>
  <w:style w:type="paragraph" w:customStyle="1" w:styleId="21">
    <w:name w:val="Default"/>
    <w:basedOn w:val="22"/>
    <w:next w:val="23"/>
    <w:qFormat/>
    <w:uiPriority w:val="99"/>
    <w:pPr>
      <w:tabs>
        <w:tab w:val="left" w:pos="0"/>
      </w:tabs>
      <w:autoSpaceDE w:val="0"/>
      <w:autoSpaceDN w:val="0"/>
      <w:adjustRightInd w:val="0"/>
    </w:pPr>
    <w:rPr>
      <w:color w:val="000000"/>
      <w:sz w:val="24"/>
    </w:rPr>
  </w:style>
  <w:style w:type="paragraph" w:customStyle="1" w:styleId="22">
    <w:name w:val="标题2"/>
    <w:basedOn w:val="5"/>
    <w:qFormat/>
    <w:uiPriority w:val="0"/>
    <w:pPr>
      <w:tabs>
        <w:tab w:val="left" w:pos="0"/>
      </w:tabs>
      <w:spacing w:line="440" w:lineRule="exact"/>
      <w:ind w:left="1560"/>
    </w:pPr>
    <w:rPr>
      <w:sz w:val="28"/>
    </w:rPr>
  </w:style>
  <w:style w:type="paragraph" w:customStyle="1" w:styleId="23">
    <w:name w:val="样式3"/>
    <w:basedOn w:val="12"/>
    <w:next w:val="24"/>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4">
    <w:name w:val="目录 53"/>
    <w:basedOn w:val="1"/>
    <w:next w:val="1"/>
    <w:qFormat/>
    <w:uiPriority w:val="0"/>
    <w:pPr>
      <w:ind w:left="840"/>
    </w:pPr>
    <w:rPr>
      <w:rFonts w:cs="宋体"/>
      <w:color w:val="000000"/>
    </w:rPr>
  </w:style>
  <w:style w:type="paragraph" w:customStyle="1" w:styleId="25">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6">
    <w:name w:val="标题 1 Char"/>
    <w:link w:val="4"/>
    <w:qFormat/>
    <w:uiPriority w:val="0"/>
    <w:rPr>
      <w:b/>
      <w:bCs/>
      <w:kern w:val="44"/>
      <w:sz w:val="44"/>
      <w:szCs w:val="44"/>
    </w:rPr>
  </w:style>
  <w:style w:type="character" w:customStyle="1" w:styleId="27">
    <w:name w:val="标题 2 Char"/>
    <w:link w:val="5"/>
    <w:qFormat/>
    <w:locked/>
    <w:uiPriority w:val="0"/>
    <w:rPr>
      <w:rFonts w:ascii="宋体" w:hAnsi="宋体" w:eastAsia="宋体" w:cs="宋体"/>
      <w:b/>
      <w:bCs/>
      <w:sz w:val="36"/>
      <w:szCs w:val="36"/>
      <w:lang w:val="en-US" w:eastAsia="zh-CN" w:bidi="ar-SA"/>
    </w:rPr>
  </w:style>
  <w:style w:type="character" w:customStyle="1" w:styleId="28">
    <w:name w:val="正文缩进 Char"/>
    <w:link w:val="2"/>
    <w:qFormat/>
    <w:locked/>
    <w:uiPriority w:val="0"/>
    <w:rPr>
      <w:rFonts w:eastAsia="宋体"/>
      <w:sz w:val="24"/>
      <w:lang w:bidi="ar-SA"/>
    </w:rPr>
  </w:style>
  <w:style w:type="character" w:customStyle="1" w:styleId="29">
    <w:name w:val="批注文字 Char"/>
    <w:basedOn w:val="16"/>
    <w:link w:val="6"/>
    <w:qFormat/>
    <w:locked/>
    <w:uiPriority w:val="0"/>
    <w:rPr>
      <w:rFonts w:eastAsia="宋体"/>
      <w:kern w:val="2"/>
      <w:sz w:val="21"/>
      <w:szCs w:val="21"/>
      <w:lang w:val="en-US" w:eastAsia="zh-CN" w:bidi="ar-SA"/>
    </w:rPr>
  </w:style>
  <w:style w:type="character" w:customStyle="1" w:styleId="30">
    <w:name w:val="日期 Char"/>
    <w:link w:val="8"/>
    <w:semiHidden/>
    <w:qFormat/>
    <w:locked/>
    <w:uiPriority w:val="0"/>
    <w:rPr>
      <w:rFonts w:cs="Times New Roman"/>
      <w:kern w:val="2"/>
      <w:sz w:val="24"/>
      <w:szCs w:val="24"/>
    </w:rPr>
  </w:style>
  <w:style w:type="character" w:customStyle="1" w:styleId="31">
    <w:name w:val="正文文本缩进 2 Char"/>
    <w:basedOn w:val="16"/>
    <w:link w:val="9"/>
    <w:qFormat/>
    <w:locked/>
    <w:uiPriority w:val="0"/>
    <w:rPr>
      <w:rFonts w:eastAsia="方正仿宋_GBK"/>
      <w:kern w:val="2"/>
      <w:sz w:val="21"/>
      <w:szCs w:val="24"/>
      <w:lang w:val="en-US" w:eastAsia="zh-CN" w:bidi="ar-SA"/>
    </w:rPr>
  </w:style>
  <w:style w:type="character" w:customStyle="1" w:styleId="32">
    <w:name w:val="页脚 Char1"/>
    <w:link w:val="10"/>
    <w:qFormat/>
    <w:locked/>
    <w:uiPriority w:val="0"/>
    <w:rPr>
      <w:kern w:val="2"/>
      <w:sz w:val="18"/>
    </w:rPr>
  </w:style>
  <w:style w:type="character" w:customStyle="1" w:styleId="33">
    <w:name w:val="页眉 Char"/>
    <w:link w:val="11"/>
    <w:qFormat/>
    <w:locked/>
    <w:uiPriority w:val="0"/>
    <w:rPr>
      <w:rFonts w:cs="Times New Roman"/>
      <w:kern w:val="2"/>
      <w:sz w:val="18"/>
    </w:rPr>
  </w:style>
  <w:style w:type="character" w:customStyle="1" w:styleId="34">
    <w:name w:val="font12"/>
    <w:qFormat/>
    <w:uiPriority w:val="0"/>
    <w:rPr>
      <w:rFonts w:ascii="宋体" w:hAnsi="宋体" w:eastAsia="宋体" w:cs="宋体"/>
      <w:color w:val="000000"/>
      <w:sz w:val="22"/>
      <w:szCs w:val="22"/>
      <w:u w:val="none"/>
    </w:rPr>
  </w:style>
  <w:style w:type="character" w:customStyle="1" w:styleId="35">
    <w:name w:val="font101"/>
    <w:qFormat/>
    <w:uiPriority w:val="0"/>
    <w:rPr>
      <w:rFonts w:ascii="Times New Roman" w:hAnsi="Times New Roman" w:cs="Times New Roman"/>
      <w:color w:val="000000"/>
      <w:sz w:val="18"/>
      <w:szCs w:val="18"/>
      <w:u w:val="none"/>
    </w:rPr>
  </w:style>
  <w:style w:type="character" w:customStyle="1" w:styleId="36">
    <w:name w:val="Footer Char"/>
    <w:qFormat/>
    <w:locked/>
    <w:uiPriority w:val="0"/>
    <w:rPr>
      <w:rFonts w:cs="Times New Roman"/>
      <w:sz w:val="18"/>
      <w:szCs w:val="18"/>
    </w:rPr>
  </w:style>
  <w:style w:type="character" w:customStyle="1" w:styleId="37">
    <w:name w:val="font111"/>
    <w:qFormat/>
    <w:uiPriority w:val="0"/>
    <w:rPr>
      <w:rFonts w:ascii="Times New Roman" w:hAnsi="Times New Roman" w:cs="Times New Roman"/>
      <w:color w:val="000000"/>
      <w:sz w:val="22"/>
      <w:szCs w:val="22"/>
      <w:u w:val="none"/>
    </w:rPr>
  </w:style>
  <w:style w:type="character" w:customStyle="1" w:styleId="38">
    <w:name w:val="font151"/>
    <w:qFormat/>
    <w:uiPriority w:val="0"/>
    <w:rPr>
      <w:rFonts w:ascii="宋体" w:hAnsi="宋体" w:eastAsia="宋体" w:cs="宋体"/>
      <w:color w:val="000000"/>
      <w:sz w:val="21"/>
      <w:szCs w:val="21"/>
      <w:u w:val="none"/>
    </w:rPr>
  </w:style>
  <w:style w:type="character" w:customStyle="1" w:styleId="39">
    <w:name w:val="font61"/>
    <w:qFormat/>
    <w:uiPriority w:val="0"/>
    <w:rPr>
      <w:rFonts w:ascii="宋体" w:hAnsi="宋体" w:eastAsia="宋体" w:cs="宋体"/>
      <w:color w:val="000000"/>
      <w:sz w:val="18"/>
      <w:szCs w:val="18"/>
      <w:u w:val="none"/>
    </w:rPr>
  </w:style>
  <w:style w:type="paragraph" w:customStyle="1" w:styleId="40">
    <w:name w:val="Char"/>
    <w:basedOn w:val="1"/>
    <w:qFormat/>
    <w:uiPriority w:val="0"/>
    <w:pPr>
      <w:tabs>
        <w:tab w:val="left" w:pos="0"/>
      </w:tabs>
    </w:pPr>
  </w:style>
  <w:style w:type="paragraph" w:customStyle="1" w:styleId="41">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2">
    <w:name w:val="_Style 33"/>
    <w:basedOn w:val="1"/>
    <w:qFormat/>
    <w:uiPriority w:val="0"/>
    <w:pPr>
      <w:spacing w:line="360" w:lineRule="auto"/>
      <w:ind w:firstLine="200" w:firstLineChars="200"/>
    </w:pPr>
    <w:rPr>
      <w:rFonts w:ascii="宋体" w:hAnsi="宋体" w:cs="宋体"/>
      <w:sz w:val="24"/>
      <w:szCs w:val="20"/>
    </w:rPr>
  </w:style>
  <w:style w:type="paragraph" w:customStyle="1" w:styleId="43">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4">
    <w:name w:val="List Paragraph"/>
    <w:basedOn w:val="1"/>
    <w:qFormat/>
    <w:uiPriority w:val="34"/>
    <w:pPr>
      <w:ind w:firstLine="420" w:firstLineChars="200"/>
    </w:pPr>
  </w:style>
  <w:style w:type="paragraph" w:customStyle="1" w:styleId="45">
    <w:name w:val="Char Char Char Char Char Char Char"/>
    <w:basedOn w:val="1"/>
    <w:qFormat/>
    <w:uiPriority w:val="0"/>
  </w:style>
  <w:style w:type="paragraph" w:customStyle="1" w:styleId="46">
    <w:name w:val="Char1"/>
    <w:basedOn w:val="1"/>
    <w:qFormat/>
    <w:uiPriority w:val="0"/>
  </w:style>
  <w:style w:type="paragraph" w:customStyle="1" w:styleId="47">
    <w:name w:val="列出段落1"/>
    <w:basedOn w:val="1"/>
    <w:qFormat/>
    <w:uiPriority w:val="0"/>
    <w:pPr>
      <w:ind w:firstLine="420" w:firstLineChars="200"/>
    </w:pPr>
    <w:rPr>
      <w:rFonts w:ascii="Calibri" w:hAnsi="Calibri"/>
      <w:szCs w:val="22"/>
    </w:rPr>
  </w:style>
  <w:style w:type="character" w:customStyle="1" w:styleId="48">
    <w:name w:val="apple-converted-space"/>
    <w:qFormat/>
    <w:uiPriority w:val="0"/>
    <w:rPr>
      <w:rFonts w:cs="Times New Roman"/>
    </w:rPr>
  </w:style>
  <w:style w:type="character" w:customStyle="1" w:styleId="49">
    <w:name w:val="NormalCharacter"/>
    <w:semiHidden/>
    <w:qFormat/>
    <w:uiPriority w:val="0"/>
  </w:style>
  <w:style w:type="paragraph" w:customStyle="1" w:styleId="50">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1">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2">
    <w:name w:val="p0"/>
    <w:basedOn w:val="1"/>
    <w:qFormat/>
    <w:uiPriority w:val="0"/>
    <w:pPr>
      <w:widowControl/>
      <w:spacing w:line="365" w:lineRule="atLeast"/>
      <w:ind w:left="1"/>
    </w:pPr>
    <w:rPr>
      <w:rFonts w:ascii="Calibri" w:hAnsi="Calibri"/>
      <w:kern w:val="0"/>
      <w:sz w:val="20"/>
      <w:szCs w:val="20"/>
    </w:rPr>
  </w:style>
  <w:style w:type="character" w:customStyle="1" w:styleId="53">
    <w:name w:val="font11"/>
    <w:qFormat/>
    <w:uiPriority w:val="0"/>
    <w:rPr>
      <w:rFonts w:hint="eastAsia" w:ascii="仿宋_GB2312" w:eastAsia="仿宋_GB2312" w:cs="仿宋_GB2312"/>
      <w:color w:val="000000"/>
      <w:sz w:val="24"/>
      <w:szCs w:val="24"/>
      <w:u w:val="none"/>
      <w:vertAlign w:val="superscript"/>
    </w:rPr>
  </w:style>
  <w:style w:type="character" w:customStyle="1" w:styleId="54">
    <w:name w:val="font41"/>
    <w:qFormat/>
    <w:uiPriority w:val="0"/>
    <w:rPr>
      <w:rFonts w:hint="eastAsia" w:ascii="宋体" w:hAnsi="宋体" w:eastAsia="宋体" w:cs="宋体"/>
      <w:color w:val="000000"/>
      <w:sz w:val="24"/>
      <w:szCs w:val="24"/>
      <w:u w:val="none"/>
    </w:rPr>
  </w:style>
  <w:style w:type="character" w:customStyle="1" w:styleId="55">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6">
    <w:name w:val="font31"/>
    <w:qFormat/>
    <w:uiPriority w:val="0"/>
    <w:rPr>
      <w:rFonts w:hint="eastAsia" w:ascii="仿宋_GB2312" w:eastAsia="仿宋_GB2312" w:cs="仿宋_GB2312"/>
      <w:color w:val="000000"/>
      <w:sz w:val="24"/>
      <w:szCs w:val="24"/>
      <w:u w:val="none"/>
    </w:rPr>
  </w:style>
  <w:style w:type="character" w:customStyle="1" w:styleId="57">
    <w:name w:val="Char Char1"/>
    <w:qFormat/>
    <w:uiPriority w:val="0"/>
    <w:rPr>
      <w:sz w:val="18"/>
      <w:szCs w:val="18"/>
    </w:rPr>
  </w:style>
  <w:style w:type="character" w:customStyle="1" w:styleId="58">
    <w:name w:val="页脚 Char"/>
    <w:basedOn w:val="16"/>
    <w:qFormat/>
    <w:uiPriority w:val="99"/>
    <w:rPr>
      <w:sz w:val="18"/>
      <w:szCs w:val="18"/>
    </w:rPr>
  </w:style>
  <w:style w:type="paragraph" w:customStyle="1" w:styleId="59">
    <w:name w:val="Char2"/>
    <w:basedOn w:val="1"/>
    <w:qFormat/>
    <w:uiPriority w:val="0"/>
    <w:pPr>
      <w:tabs>
        <w:tab w:val="left" w:pos="0"/>
      </w:tabs>
    </w:pPr>
  </w:style>
  <w:style w:type="paragraph" w:customStyle="1" w:styleId="60">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1">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2">
    <w:name w:val="Header Char"/>
    <w:basedOn w:val="16"/>
    <w:qFormat/>
    <w:locked/>
    <w:uiPriority w:val="0"/>
    <w:rPr>
      <w:rFonts w:cs="Times New Roman"/>
      <w:sz w:val="18"/>
      <w:szCs w:val="18"/>
    </w:rPr>
  </w:style>
  <w:style w:type="paragraph" w:customStyle="1" w:styleId="63">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4">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5">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6">
    <w:name w:val="表内文字1"/>
    <w:basedOn w:val="1"/>
    <w:qFormat/>
    <w:uiPriority w:val="0"/>
    <w:pPr>
      <w:adjustRightInd w:val="0"/>
      <w:snapToGrid w:val="0"/>
      <w:jc w:val="center"/>
    </w:pPr>
    <w:rPr>
      <w:snapToGrid w:val="0"/>
      <w:kern w:val="0"/>
      <w:szCs w:val="20"/>
    </w:rPr>
  </w:style>
  <w:style w:type="character" w:customStyle="1" w:styleId="67">
    <w:name w:val="15"/>
    <w:qFormat/>
    <w:uiPriority w:val="0"/>
    <w:rPr>
      <w:rFonts w:hint="default" w:ascii="Times New Roman" w:hAnsi="Times New Roman" w:eastAsia="宋体" w:cs="Times New Roman"/>
      <w:color w:val="0000FF"/>
      <w:u w:val="single"/>
    </w:rPr>
  </w:style>
  <w:style w:type="paragraph" w:customStyle="1" w:styleId="68">
    <w:name w:val="正文（公文）"/>
    <w:basedOn w:val="1"/>
    <w:qFormat/>
    <w:uiPriority w:val="0"/>
    <w:pPr>
      <w:spacing w:line="580" w:lineRule="exact"/>
      <w:ind w:firstLine="420"/>
    </w:pPr>
    <w:rPr>
      <w:rFonts w:ascii="Calibri" w:hAnsi="Calibri" w:eastAsia="方正仿宋_GBK"/>
      <w:sz w:val="32"/>
    </w:rPr>
  </w:style>
  <w:style w:type="paragraph" w:customStyle="1" w:styleId="69">
    <w:name w:val="Char Char2"/>
    <w:basedOn w:val="1"/>
    <w:qFormat/>
    <w:uiPriority w:val="0"/>
    <w:pPr>
      <w:tabs>
        <w:tab w:val="left" w:pos="0"/>
      </w:tabs>
    </w:pPr>
  </w:style>
  <w:style w:type="paragraph" w:customStyle="1" w:styleId="70">
    <w:name w:val="文华表正文"/>
    <w:basedOn w:val="71"/>
    <w:qFormat/>
    <w:uiPriority w:val="0"/>
    <w:pPr>
      <w:ind w:firstLine="480"/>
    </w:pPr>
    <w:rPr>
      <w:rFonts w:hAnsi="宋体"/>
    </w:rPr>
  </w:style>
  <w:style w:type="paragraph" w:customStyle="1" w:styleId="71">
    <w:name w:val="报告表正文"/>
    <w:basedOn w:val="1"/>
    <w:qFormat/>
    <w:uiPriority w:val="0"/>
    <w:pPr>
      <w:spacing w:line="360" w:lineRule="auto"/>
      <w:ind w:firstLine="200" w:firstLineChars="200"/>
    </w:pPr>
    <w:rPr>
      <w:sz w:val="24"/>
    </w:rPr>
  </w:style>
  <w:style w:type="table" w:customStyle="1" w:styleId="72">
    <w:name w:val="网格型1"/>
    <w:basedOn w:val="1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449</Words>
  <Characters>2565</Characters>
  <Lines>21</Lines>
  <Paragraphs>6</Paragraphs>
  <TotalTime>0</TotalTime>
  <ScaleCrop>false</ScaleCrop>
  <LinksUpToDate>false</LinksUpToDate>
  <CharactersWithSpaces>3008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2023-01-06T02:52:00Z</dcterms:created>
  <dc:creator>雨林木风</dc:creator>
  <cp:lastModifiedBy>市生态环境局发文员</cp:lastModifiedBy>
  <cp:lastPrinted>2026-01-06T03:41:00Z</cp:lastPrinted>
  <dcterms:modified xsi:type="dcterms:W3CDTF">2026-01-27T08:37:32Z</dcterms:modified>
  <dc:title>黄环〔2011〕8号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