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w:t>
      </w: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号</w:t>
      </w:r>
    </w:p>
    <w:p>
      <w:pPr>
        <w:adjustRightInd w:val="0"/>
        <w:snapToGrid w:val="0"/>
        <w:spacing w:line="560" w:lineRule="exact"/>
        <w:jc w:val="center"/>
        <w:rPr>
          <w:rFonts w:hint="eastAsia" w:eastAsia="方正小标宋简体"/>
          <w:sz w:val="44"/>
          <w:szCs w:val="44"/>
          <w:lang w:val="en-US" w:eastAsia="zh-CN"/>
        </w:rPr>
      </w:pPr>
      <w:r>
        <w:rPr>
          <w:rFonts w:eastAsia="方正小标宋简体"/>
          <w:sz w:val="44"/>
          <w:szCs w:val="44"/>
        </w:rPr>
        <w:t>关于</w:t>
      </w:r>
      <w:r>
        <w:rPr>
          <w:rFonts w:hint="eastAsia" w:eastAsia="方正小标宋简体"/>
          <w:sz w:val="44"/>
          <w:szCs w:val="44"/>
          <w:lang w:val="en-US" w:eastAsia="zh-CN"/>
        </w:rPr>
        <w:t>安徽霖杉新材料科技有限公司陶瓷</w:t>
      </w:r>
    </w:p>
    <w:p>
      <w:pPr>
        <w:adjustRightInd w:val="0"/>
        <w:snapToGrid w:val="0"/>
        <w:spacing w:line="560" w:lineRule="exact"/>
        <w:jc w:val="center"/>
        <w:rPr>
          <w:rFonts w:hint="eastAsia" w:eastAsia="方正小标宋简体"/>
          <w:sz w:val="44"/>
          <w:szCs w:val="44"/>
          <w:lang w:val="en-US" w:eastAsia="zh-CN"/>
        </w:rPr>
      </w:pPr>
      <w:r>
        <w:rPr>
          <w:rFonts w:hint="eastAsia" w:eastAsia="方正小标宋简体"/>
          <w:sz w:val="44"/>
          <w:szCs w:val="44"/>
          <w:lang w:val="en-US" w:eastAsia="zh-CN"/>
        </w:rPr>
        <w:t>基板—氮化硅氮化铝制造项目</w:t>
      </w:r>
    </w:p>
    <w:p>
      <w:pPr>
        <w:adjustRightInd w:val="0"/>
        <w:snapToGrid w:val="0"/>
        <w:spacing w:line="560" w:lineRule="exact"/>
        <w:jc w:val="center"/>
        <w:rPr>
          <w:rFonts w:eastAsia="方正小标宋简体"/>
          <w:sz w:val="44"/>
          <w:szCs w:val="44"/>
        </w:rPr>
      </w:pPr>
      <w:r>
        <w:rPr>
          <w:rFonts w:eastAsia="方正小标宋简体"/>
          <w:sz w:val="44"/>
          <w:szCs w:val="44"/>
        </w:rPr>
        <w:t>环境影响报告表的批复</w:t>
      </w:r>
    </w:p>
    <w:p>
      <w:pPr>
        <w:adjustRightInd w:val="0"/>
        <w:snapToGrid w:val="0"/>
        <w:spacing w:line="560" w:lineRule="exact"/>
        <w:jc w:val="center"/>
        <w:rPr>
          <w:rFonts w:eastAsia="方正小标宋简体"/>
          <w:sz w:val="44"/>
          <w:szCs w:val="44"/>
        </w:rPr>
      </w:pPr>
    </w:p>
    <w:p>
      <w:pPr>
        <w:adjustRightInd w:val="0"/>
        <w:snapToGrid w:val="0"/>
        <w:spacing w:line="560" w:lineRule="exact"/>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安徽霖杉新材料科技有限公司</w:t>
      </w:r>
      <w:r>
        <w:rPr>
          <w:rFonts w:hint="default" w:ascii="Times New Roman" w:hAnsi="Times New Roman" w:eastAsia="仿宋_GB2312" w:cs="Times New Roman"/>
          <w:bCs/>
          <w:sz w:val="32"/>
          <w:szCs w:val="32"/>
        </w:rPr>
        <w:t>：</w:t>
      </w:r>
    </w:p>
    <w:p>
      <w:pPr>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你单位报送的</w:t>
      </w:r>
      <w:r>
        <w:rPr>
          <w:rFonts w:hint="default" w:ascii="Times New Roman" w:hAnsi="Times New Roman" w:eastAsia="仿宋_GB2312" w:cs="Times New Roman"/>
          <w:bCs/>
          <w:sz w:val="32"/>
          <w:szCs w:val="32"/>
          <w:lang w:val="en-US" w:eastAsia="zh-CN"/>
        </w:rPr>
        <w:t>《陶瓷基板—氮化硅氮化铝制造项目环境影响报告表》（以</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bCs/>
          <w:sz w:val="32"/>
          <w:szCs w:val="32"/>
        </w:rPr>
        <w:t>简称《报告表》）及承诺书相关报批申请材料收悉。根据《</w:t>
      </w:r>
      <w:r>
        <w:rPr>
          <w:rFonts w:hint="default" w:ascii="Times New Roman" w:hAnsi="Times New Roman" w:eastAsia="仿宋_GB2312" w:cs="Times New Roman"/>
          <w:sz w:val="32"/>
          <w:szCs w:val="32"/>
        </w:rPr>
        <w:t>安徽省生态环境厅关于</w:t>
      </w:r>
      <w:r>
        <w:rPr>
          <w:rFonts w:hint="default" w:ascii="Times New Roman" w:hAnsi="Times New Roman" w:eastAsia="仿宋_GB2312" w:cs="Times New Roman"/>
          <w:sz w:val="32"/>
          <w:szCs w:val="32"/>
          <w:lang w:eastAsia="zh-CN"/>
        </w:rPr>
        <w:t>强化生态环境保障和服务助力稳经济若干措施</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bookmarkStart w:id="0" w:name="strDocNo"/>
      <w:r>
        <w:rPr>
          <w:rFonts w:hint="default" w:ascii="Times New Roman" w:hAnsi="Times New Roman" w:eastAsia="仿宋_GB2312" w:cs="Times New Roman"/>
          <w:sz w:val="32"/>
          <w:szCs w:val="32"/>
        </w:rPr>
        <w:t>皖环发〔202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bookmarkEnd w:id="0"/>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号），该项目在</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环评告知承诺</w:t>
      </w:r>
      <w:r>
        <w:rPr>
          <w:rFonts w:hint="default" w:ascii="Times New Roman" w:hAnsi="Times New Roman" w:eastAsia="仿宋_GB2312" w:cs="Times New Roman"/>
          <w:sz w:val="32"/>
          <w:szCs w:val="32"/>
          <w:lang w:eastAsia="zh-CN"/>
        </w:rPr>
        <w:t>的行业及项目类别清单内</w:t>
      </w:r>
      <w:r>
        <w:rPr>
          <w:rFonts w:hint="default" w:ascii="Times New Roman" w:hAnsi="Times New Roman" w:eastAsia="仿宋_GB2312" w:cs="Times New Roman"/>
          <w:sz w:val="32"/>
          <w:szCs w:val="32"/>
        </w:rPr>
        <w:t>。现批复如下：</w:t>
      </w:r>
    </w:p>
    <w:p>
      <w:pPr>
        <w:adjustRightInd w:val="0"/>
        <w:snapToGrid w:val="0"/>
        <w:spacing w:line="560" w:lineRule="exact"/>
        <w:ind w:firstLine="64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bCs/>
          <w:sz w:val="32"/>
          <w:szCs w:val="32"/>
          <w:lang w:eastAsia="zh-CN"/>
        </w:rPr>
        <w:t>本项目位于安徽省黄山市高新技术产业开发区紫云路东侧、百川路北侧，</w:t>
      </w:r>
      <w:r>
        <w:rPr>
          <w:rFonts w:hint="default" w:ascii="Times New Roman" w:hAnsi="Times New Roman" w:eastAsia="仿宋_GB2312" w:cs="Times New Roman"/>
          <w:bCs/>
          <w:sz w:val="32"/>
          <w:szCs w:val="32"/>
        </w:rPr>
        <w:t>项目总投资 11000 万元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 xml:space="preserve">规划用地面积 17333.19㎡ </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拟建设 1 栋研发车间、3 栋生产车间及门卫室</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 xml:space="preserve">总建筑面积 28298.16㎡ </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 xml:space="preserve">其中 1#研发车间 6580.62㎡、2#生产车间 7567.02㎡ 、3#生产车6329.72㎡ 、5#生产车间 7792.26㎡ 、门卫室 28.54㎡ </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同时配置搅拌球磨机、真空脱泡机、流延机、箱式排胶机、烧结炉等生产设备和相应的环保设施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并建设配套设施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含道路绿化等</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及其它附属设施。项目建设完成后可形成年产 30 万片</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13 万片氮化硅、17 万片氮化铝</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陶瓷基板生产能力。</w:t>
      </w:r>
    </w:p>
    <w:p>
      <w:pPr>
        <w:numPr>
          <w:ilvl w:val="0"/>
          <w:numId w:val="0"/>
        </w:num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同意你单位按照报送的《报告表》进行建设。你单位应当严格落实《报告表》提出的污染防治和生态保护措施及环境风险防范措施，严格执行环境保护“三同时”制度，</w:t>
      </w:r>
      <w:r>
        <w:rPr>
          <w:rFonts w:hint="default" w:ascii="Times New Roman" w:hAnsi="Times New Roman" w:eastAsia="仿宋_GB2312" w:cs="Times New Roman"/>
          <w:sz w:val="32"/>
          <w:szCs w:val="32"/>
        </w:rPr>
        <w:t>环保设施建设必须纳入施工合同，保证环保设施建设进度和资金。</w:t>
      </w:r>
      <w:r>
        <w:rPr>
          <w:rFonts w:hint="default" w:ascii="Times New Roman" w:hAnsi="Times New Roman" w:eastAsia="仿宋_GB2312" w:cs="Times New Roman"/>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pPr>
        <w:tabs>
          <w:tab w:val="left" w:pos="6660"/>
        </w:tabs>
        <w:spacing w:line="520" w:lineRule="exact"/>
        <w:ind w:firstLine="57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加强对各项污染治理设施的日常维护和管理，保障设施正常稳定运行，确保各项污染物稳定达标排放。</w:t>
      </w:r>
    </w:p>
    <w:p>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该项目应当遵守安全生产规定，按照安全生产管理要求建设、运行和维护各类生产设施和污染防治设施，建立安全生产管理制度。</w:t>
      </w:r>
    </w:p>
    <w:p>
      <w:pPr>
        <w:spacing w:line="560" w:lineRule="exact"/>
        <w:ind w:right="-34"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该项目的性质、规模、地点、采用的生产工艺或者防治污染、防止生态破坏的措施发生重大变动的，应依法重新报批本项目的环境影响评价文件。</w:t>
      </w:r>
      <w:r>
        <w:rPr>
          <w:rFonts w:hint="default" w:ascii="Times New Roman" w:hAnsi="Times New Roman" w:eastAsia="仿宋_GB2312" w:cs="Times New Roman"/>
          <w:color w:val="000000"/>
          <w:sz w:val="32"/>
          <w:szCs w:val="32"/>
        </w:rPr>
        <w:t>超过五年方才建设的，应依法报我局重新审核。</w:t>
      </w:r>
      <w:r>
        <w:rPr>
          <w:rFonts w:hint="default" w:ascii="Times New Roman" w:hAnsi="Times New Roman" w:eastAsia="仿宋_GB2312" w:cs="Times New Roman"/>
          <w:sz w:val="32"/>
          <w:szCs w:val="32"/>
        </w:rPr>
        <w:t>国家对本项目应执行的环境标准作出修订或颁布新要求的，执行新标准和新要求</w:t>
      </w:r>
      <w:r>
        <w:rPr>
          <w:rFonts w:hint="default" w:ascii="Times New Roman" w:hAnsi="Times New Roman" w:eastAsia="仿宋_GB2312" w:cs="Times New Roman"/>
          <w:bCs/>
          <w:sz w:val="32"/>
          <w:szCs w:val="32"/>
        </w:rPr>
        <w:t>。</w:t>
      </w:r>
    </w:p>
    <w:p>
      <w:pPr>
        <w:spacing w:line="560" w:lineRule="exact"/>
        <w:ind w:right="-34"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六、</w:t>
      </w:r>
      <w:r>
        <w:rPr>
          <w:rFonts w:hint="default" w:ascii="Times New Roman" w:hAnsi="Times New Roman" w:eastAsia="仿宋_GB2312" w:cs="Times New Roman"/>
          <w:bCs/>
          <w:sz w:val="32"/>
          <w:szCs w:val="32"/>
        </w:rPr>
        <w:t>项目的环保日常监督管理由市生态环境保护综合行政执法支队按照有关职责实施，发现存在</w:t>
      </w:r>
      <w:r>
        <w:rPr>
          <w:rFonts w:hint="default" w:ascii="Times New Roman" w:hAnsi="Times New Roman" w:eastAsia="仿宋_GB2312" w:cs="Times New Roman"/>
          <w:sz w:val="32"/>
          <w:szCs w:val="32"/>
        </w:rPr>
        <w:t>不符合告知承诺制或环境影响评价文件存在重大质量问题，依法撤销审批决定，造成的一切法律后果和经济损失均由你单位承担。</w:t>
      </w:r>
    </w:p>
    <w:p>
      <w:pPr>
        <w:spacing w:line="560" w:lineRule="exact"/>
        <w:ind w:firstLine="640" w:firstLineChars="200"/>
        <w:rPr>
          <w:rFonts w:hint="default" w:ascii="Times New Roman" w:hAnsi="Times New Roman" w:eastAsia="仿宋_GB2312" w:cs="Times New Roman"/>
          <w:bCs/>
          <w:sz w:val="32"/>
          <w:szCs w:val="32"/>
        </w:rPr>
      </w:pPr>
    </w:p>
    <w:p>
      <w:pPr>
        <w:wordWrap w:val="0"/>
        <w:spacing w:line="560" w:lineRule="exact"/>
        <w:ind w:right="-34"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kern w:val="24"/>
          <w:sz w:val="32"/>
          <w:szCs w:val="32"/>
        </w:rPr>
        <w:t xml:space="preserve">        </w:t>
      </w:r>
      <w:r>
        <w:rPr>
          <w:rFonts w:hint="default" w:ascii="Times New Roman" w:hAnsi="Times New Roman" w:eastAsia="仿宋_GB2312" w:cs="Times New Roman"/>
          <w:sz w:val="32"/>
          <w:szCs w:val="32"/>
        </w:rPr>
        <w:t xml:space="preserve">    </w:t>
      </w:r>
    </w:p>
    <w:p>
      <w:pPr>
        <w:wordWrap w:val="0"/>
        <w:spacing w:line="560" w:lineRule="exact"/>
        <w:ind w:right="-34"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spacing w:line="560" w:lineRule="exact"/>
        <w:jc w:val="center"/>
        <w:textAlignment w:val="auto"/>
        <w:rPr>
          <w:rFonts w:ascii="Times New Roman" w:hAnsi="Times New Roman" w:eastAsia="仿宋_GB2312" w:cs="Times New Roman"/>
          <w:sz w:val="32"/>
          <w:szCs w:val="32"/>
          <w:lang w:val="en"/>
        </w:rPr>
      </w:pPr>
    </w:p>
    <w:p>
      <w:pPr>
        <w:keepNext w:val="0"/>
        <w:keepLines w:val="0"/>
        <w:pageBreakBefore w:val="0"/>
        <w:widowControl w:val="0"/>
        <w:kinsoku/>
        <w:overflowPunct/>
        <w:topLinePunct w:val="0"/>
        <w:autoSpaceDE/>
        <w:autoSpaceDN/>
        <w:bidi w:val="0"/>
        <w:spacing w:line="560" w:lineRule="exact"/>
        <w:jc w:val="center"/>
        <w:textAlignment w:val="auto"/>
        <w:rPr>
          <w:rFonts w:ascii="Times New Roman" w:hAnsi="Times New Roman" w:eastAsia="仿宋_GB2312" w:cs="Times New Roman"/>
          <w:sz w:val="32"/>
          <w:szCs w:val="32"/>
          <w:lang w:val="en"/>
        </w:rPr>
      </w:pPr>
    </w:p>
    <w:p>
      <w:pPr>
        <w:keepNext w:val="0"/>
        <w:keepLines w:val="0"/>
        <w:pageBreakBefore w:val="0"/>
        <w:widowControl w:val="0"/>
        <w:kinsoku/>
        <w:overflowPunct/>
        <w:topLinePunct w:val="0"/>
        <w:autoSpaceDE/>
        <w:autoSpaceDN/>
        <w:bidi w:val="0"/>
        <w:spacing w:line="560" w:lineRule="exact"/>
        <w:jc w:val="both"/>
        <w:textAlignment w:val="auto"/>
        <w:rPr>
          <w:rFonts w:ascii="Times New Roman" w:hAnsi="Times New Roman" w:eastAsia="仿宋_GB2312" w:cs="Times New Roman"/>
          <w:sz w:val="32"/>
          <w:szCs w:val="32"/>
          <w:lang w:val="en"/>
        </w:rPr>
      </w:pPr>
    </w:p>
    <w:p>
      <w:pPr>
        <w:pStyle w:val="3"/>
        <w:keepNext w:val="0"/>
        <w:keepLines w:val="0"/>
        <w:pageBreakBefore w:val="0"/>
        <w:widowControl w:val="0"/>
        <w:kinsoku/>
        <w:wordWrap/>
        <w:overflowPunct/>
        <w:topLinePunct w:val="0"/>
        <w:autoSpaceDE/>
        <w:autoSpaceDN/>
        <w:bidi w:val="0"/>
        <w:adjustRightInd/>
        <w:spacing w:before="0" w:beforeLines="0" w:line="560" w:lineRule="exact"/>
        <w:textAlignment w:val="auto"/>
        <w:rPr>
          <w:rFonts w:hint="eastAsia" w:eastAsia="仿宋_GB2312"/>
          <w:sz w:val="32"/>
          <w:szCs w:val="32"/>
        </w:rPr>
      </w:pPr>
    </w:p>
    <w:p>
      <w:pPr>
        <w:pStyle w:val="3"/>
        <w:keepNext w:val="0"/>
        <w:keepLines w:val="0"/>
        <w:pageBreakBefore w:val="0"/>
        <w:widowControl w:val="0"/>
        <w:kinsoku/>
        <w:wordWrap/>
        <w:overflowPunct/>
        <w:topLinePunct w:val="0"/>
        <w:autoSpaceDE/>
        <w:autoSpaceDN/>
        <w:bidi w:val="0"/>
        <w:adjustRightInd/>
        <w:spacing w:before="0" w:beforeLines="0" w:line="560" w:lineRule="exact"/>
        <w:textAlignment w:val="auto"/>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jc w:val="both"/>
        <w:rPr>
          <w:rFonts w:hint="eastAsia" w:eastAsia="仿宋_GB2312"/>
          <w:sz w:val="32"/>
          <w:szCs w:val="32"/>
          <w:lang w:val="en-US" w:eastAsia="zh-CN"/>
        </w:rPr>
      </w:pPr>
    </w:p>
    <w:p>
      <w:pPr>
        <w:pStyle w:val="3"/>
        <w:jc w:val="both"/>
        <w:rPr>
          <w:rFonts w:hint="eastAsia" w:eastAsia="仿宋_GB2312"/>
          <w:sz w:val="32"/>
          <w:szCs w:val="32"/>
          <w:lang w:val="en-US" w:eastAsia="zh-CN"/>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both"/>
        <w:rPr>
          <w:rFonts w:hint="default" w:ascii="Times New Roman" w:hAnsi="Times New Roman" w:eastAsia="仿宋_GB2312" w:cs="Times New Roman"/>
          <w:sz w:val="32"/>
          <w:szCs w:val="32"/>
          <w:lang w:val="en"/>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bookmarkStart w:id="1" w:name="_GoBack"/>
      <w:bookmarkEnd w:id="1"/>
    </w:p>
    <w:tbl>
      <w:tblPr>
        <w:tblStyle w:val="17"/>
        <w:tblpPr w:leftFromText="180" w:rightFromText="180" w:vertAnchor="text" w:horzAnchor="page" w:tblpX="1608" w:tblpY="625"/>
        <w:tblOverlap w:val="never"/>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overflowPunct/>
              <w:topLinePunct w:val="0"/>
              <w:autoSpaceDE/>
              <w:autoSpaceDN/>
              <w:bidi w:val="0"/>
              <w:spacing w:line="560" w:lineRule="exact"/>
              <w:ind w:left="1053" w:leftChars="133" w:hanging="774" w:hangingChars="300"/>
              <w:jc w:val="both"/>
              <w:textAlignment w:val="auto"/>
              <w:rPr>
                <w:rFonts w:eastAsia="仿宋_GB2312"/>
                <w:color w:val="000000"/>
                <w:sz w:val="28"/>
                <w:szCs w:val="28"/>
              </w:rPr>
            </w:pPr>
            <w:r>
              <w:rPr>
                <w:rFonts w:hint="eastAsia" w:ascii="Times New Roman" w:hAnsi="Times New Roman" w:eastAsia="仿宋_GB2312" w:cs="Times New Roman"/>
                <w:spacing w:val="-11"/>
                <w:sz w:val="28"/>
                <w:szCs w:val="28"/>
                <w:lang w:val="en" w:eastAsia="zh-CN"/>
              </w:rPr>
              <w:t>抄送：市生态环境保护综合行政执法支队，浙江环耀环境建设有限公司。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eastAsia="仿宋_GB2312"/>
                <w:color w:val="000000"/>
                <w:sz w:val="28"/>
                <w:szCs w:val="28"/>
              </w:rPr>
            </w:pPr>
            <w:r>
              <w:rPr>
                <w:rFonts w:eastAsia="仿宋_GB2312"/>
                <w:color w:val="000000"/>
                <w:sz w:val="28"/>
                <w:szCs w:val="28"/>
              </w:rPr>
              <w:t>黄山市生态环境局                    202</w:t>
            </w:r>
            <w:r>
              <w:rPr>
                <w:rFonts w:hint="eastAsia" w:eastAsia="仿宋_GB2312"/>
                <w:color w:val="000000"/>
                <w:sz w:val="28"/>
                <w:szCs w:val="28"/>
              </w:rPr>
              <w:t>5</w:t>
            </w:r>
            <w:r>
              <w:rPr>
                <w:rFonts w:eastAsia="仿宋_GB2312"/>
                <w:color w:val="000000"/>
                <w:sz w:val="28"/>
                <w:szCs w:val="28"/>
              </w:rPr>
              <w:t>年</w:t>
            </w:r>
            <w:r>
              <w:rPr>
                <w:rFonts w:hint="eastAsia" w:eastAsia="仿宋_GB2312"/>
                <w:color w:val="000000"/>
                <w:sz w:val="28"/>
                <w:szCs w:val="28"/>
                <w:lang w:val="en-US" w:eastAsia="zh-CN"/>
              </w:rPr>
              <w:t>12</w:t>
            </w:r>
            <w:r>
              <w:rPr>
                <w:rFonts w:eastAsia="仿宋_GB2312"/>
                <w:color w:val="000000"/>
                <w:sz w:val="28"/>
                <w:szCs w:val="28"/>
              </w:rPr>
              <w:t>月</w:t>
            </w:r>
            <w:r>
              <w:rPr>
                <w:rFonts w:hint="eastAsia" w:eastAsia="仿宋_GB2312"/>
                <w:color w:val="000000"/>
                <w:sz w:val="28"/>
                <w:szCs w:val="28"/>
                <w:lang w:val="en-US" w:eastAsia="zh-CN"/>
              </w:rPr>
              <w:t>17</w:t>
            </w:r>
            <w:r>
              <w:rPr>
                <w:rFonts w:eastAsia="仿宋_GB2312"/>
                <w:color w:val="000000"/>
                <w:sz w:val="28"/>
                <w:szCs w:val="28"/>
              </w:rPr>
              <w:t>日印发</w:t>
            </w:r>
          </w:p>
        </w:tc>
      </w:tr>
    </w:tbl>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065668"/>
    <w:rsid w:val="108D4A90"/>
    <w:rsid w:val="10B03D5F"/>
    <w:rsid w:val="10E95EDA"/>
    <w:rsid w:val="110D6725"/>
    <w:rsid w:val="11C35B74"/>
    <w:rsid w:val="12346DCE"/>
    <w:rsid w:val="137D647C"/>
    <w:rsid w:val="148D4C99"/>
    <w:rsid w:val="1496733C"/>
    <w:rsid w:val="151E1F84"/>
    <w:rsid w:val="15660E3B"/>
    <w:rsid w:val="15D40B0A"/>
    <w:rsid w:val="17A56B63"/>
    <w:rsid w:val="17CB6684"/>
    <w:rsid w:val="181A30AD"/>
    <w:rsid w:val="18226406"/>
    <w:rsid w:val="18F341E5"/>
    <w:rsid w:val="19A6198A"/>
    <w:rsid w:val="1AEF19DB"/>
    <w:rsid w:val="1AF04599"/>
    <w:rsid w:val="1BB2184F"/>
    <w:rsid w:val="1C0F7F31"/>
    <w:rsid w:val="1D514E4D"/>
    <w:rsid w:val="1D6E4EF6"/>
    <w:rsid w:val="1EAF02C7"/>
    <w:rsid w:val="1F1D441C"/>
    <w:rsid w:val="1FA035DF"/>
    <w:rsid w:val="204F3B10"/>
    <w:rsid w:val="20636A07"/>
    <w:rsid w:val="20BD61C9"/>
    <w:rsid w:val="21D267A7"/>
    <w:rsid w:val="22E05C1E"/>
    <w:rsid w:val="22ED7531"/>
    <w:rsid w:val="230C5CE8"/>
    <w:rsid w:val="237E0648"/>
    <w:rsid w:val="24190515"/>
    <w:rsid w:val="24426B02"/>
    <w:rsid w:val="24491E4E"/>
    <w:rsid w:val="24656A00"/>
    <w:rsid w:val="261F21D6"/>
    <w:rsid w:val="266F09BF"/>
    <w:rsid w:val="276E7A08"/>
    <w:rsid w:val="28193786"/>
    <w:rsid w:val="28837790"/>
    <w:rsid w:val="28DA522C"/>
    <w:rsid w:val="28FB4835"/>
    <w:rsid w:val="2918284B"/>
    <w:rsid w:val="29356D18"/>
    <w:rsid w:val="298E6CE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8C57CC"/>
    <w:rsid w:val="31DE30C6"/>
    <w:rsid w:val="31F011F0"/>
    <w:rsid w:val="325776DC"/>
    <w:rsid w:val="32CE6B16"/>
    <w:rsid w:val="32F12373"/>
    <w:rsid w:val="33E118EB"/>
    <w:rsid w:val="347A2B44"/>
    <w:rsid w:val="34DA491F"/>
    <w:rsid w:val="35461462"/>
    <w:rsid w:val="35633A5B"/>
    <w:rsid w:val="358D2CB9"/>
    <w:rsid w:val="36403B1B"/>
    <w:rsid w:val="36965340"/>
    <w:rsid w:val="36DD2A9E"/>
    <w:rsid w:val="37B418AC"/>
    <w:rsid w:val="381D6DB0"/>
    <w:rsid w:val="38FE4203"/>
    <w:rsid w:val="39385A7A"/>
    <w:rsid w:val="39513FFD"/>
    <w:rsid w:val="3A1351FB"/>
    <w:rsid w:val="3A3A2197"/>
    <w:rsid w:val="3A3C4D2A"/>
    <w:rsid w:val="3A9B63FB"/>
    <w:rsid w:val="3B030FCF"/>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E312E"/>
    <w:rsid w:val="43EE526A"/>
    <w:rsid w:val="4401121A"/>
    <w:rsid w:val="46307D9C"/>
    <w:rsid w:val="46DD5122"/>
    <w:rsid w:val="474C2E23"/>
    <w:rsid w:val="48A2742E"/>
    <w:rsid w:val="496B110B"/>
    <w:rsid w:val="49E076BE"/>
    <w:rsid w:val="4A0B01F8"/>
    <w:rsid w:val="4A2B33FF"/>
    <w:rsid w:val="4A4C2CEB"/>
    <w:rsid w:val="4C916B1C"/>
    <w:rsid w:val="4DD3040C"/>
    <w:rsid w:val="4DF96CE5"/>
    <w:rsid w:val="4E253C8D"/>
    <w:rsid w:val="4E885F53"/>
    <w:rsid w:val="4E9A34BA"/>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265B0F"/>
    <w:rsid w:val="5D810F9D"/>
    <w:rsid w:val="5E270513"/>
    <w:rsid w:val="5E2F11F8"/>
    <w:rsid w:val="5E710B1A"/>
    <w:rsid w:val="5EC45EC6"/>
    <w:rsid w:val="5F322057"/>
    <w:rsid w:val="5F8E1DCD"/>
    <w:rsid w:val="62020179"/>
    <w:rsid w:val="64874BF3"/>
    <w:rsid w:val="65927696"/>
    <w:rsid w:val="65953340"/>
    <w:rsid w:val="65B22339"/>
    <w:rsid w:val="66091638"/>
    <w:rsid w:val="66C11F13"/>
    <w:rsid w:val="66FE4F15"/>
    <w:rsid w:val="678F5E1A"/>
    <w:rsid w:val="67915D89"/>
    <w:rsid w:val="688E4077"/>
    <w:rsid w:val="68EE4E19"/>
    <w:rsid w:val="69F36887"/>
    <w:rsid w:val="6A550149"/>
    <w:rsid w:val="6A8671F8"/>
    <w:rsid w:val="6AB94295"/>
    <w:rsid w:val="6AFD3034"/>
    <w:rsid w:val="6D211EB4"/>
    <w:rsid w:val="6DFA6E05"/>
    <w:rsid w:val="6E7D7067"/>
    <w:rsid w:val="6F173018"/>
    <w:rsid w:val="6F1A4C33"/>
    <w:rsid w:val="6F9C5FFE"/>
    <w:rsid w:val="6FE33F77"/>
    <w:rsid w:val="7280201C"/>
    <w:rsid w:val="729F0E04"/>
    <w:rsid w:val="72EE408F"/>
    <w:rsid w:val="73144350"/>
    <w:rsid w:val="73BE1CB4"/>
    <w:rsid w:val="73F41264"/>
    <w:rsid w:val="746E0B18"/>
    <w:rsid w:val="74A52E74"/>
    <w:rsid w:val="75F33C30"/>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32"/>
    <w:semiHidden/>
    <w:qFormat/>
    <w:uiPriority w:val="0"/>
    <w:pPr>
      <w:jc w:val="left"/>
    </w:pPr>
    <w:rPr>
      <w:szCs w:val="21"/>
    </w:rPr>
  </w:style>
  <w:style w:type="paragraph" w:styleId="7">
    <w:name w:val="Body Text"/>
    <w:basedOn w:val="1"/>
    <w:next w:val="1"/>
    <w:qFormat/>
    <w:uiPriority w:val="0"/>
    <w:pPr>
      <w:spacing w:after="120"/>
    </w:pPr>
  </w:style>
  <w:style w:type="paragraph" w:styleId="8">
    <w:name w:val="Body Text Indent"/>
    <w:basedOn w:val="1"/>
    <w:link w:val="77"/>
    <w:qFormat/>
    <w:uiPriority w:val="0"/>
    <w:pPr>
      <w:spacing w:after="120"/>
      <w:ind w:left="420" w:leftChars="200"/>
    </w:pPr>
  </w:style>
  <w:style w:type="paragraph" w:styleId="9">
    <w:name w:val="Date"/>
    <w:basedOn w:val="1"/>
    <w:next w:val="1"/>
    <w:link w:val="33"/>
    <w:qFormat/>
    <w:uiPriority w:val="0"/>
    <w:pPr>
      <w:ind w:left="100" w:leftChars="2500"/>
    </w:pPr>
    <w:rPr>
      <w:sz w:val="24"/>
    </w:rPr>
  </w:style>
  <w:style w:type="paragraph" w:styleId="10">
    <w:name w:val="Body Text Indent 2"/>
    <w:basedOn w:val="1"/>
    <w:next w:val="1"/>
    <w:link w:val="34"/>
    <w:qFormat/>
    <w:uiPriority w:val="0"/>
    <w:pPr>
      <w:spacing w:line="590" w:lineRule="exact"/>
      <w:ind w:firstLine="880" w:firstLineChars="200"/>
    </w:pPr>
    <w:rPr>
      <w:rFonts w:eastAsia="方正仿宋_GBK"/>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5"/>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4"/>
    <w:qFormat/>
    <w:uiPriority w:val="0"/>
    <w:rPr>
      <w:b/>
      <w:bCs/>
      <w:kern w:val="44"/>
      <w:sz w:val="44"/>
      <w:szCs w:val="44"/>
    </w:rPr>
  </w:style>
  <w:style w:type="character" w:customStyle="1" w:styleId="30">
    <w:name w:val="标题 2 Char"/>
    <w:link w:val="5"/>
    <w:qFormat/>
    <w:locked/>
    <w:uiPriority w:val="0"/>
    <w:rPr>
      <w:rFonts w:ascii="宋体" w:hAnsi="宋体" w:eastAsia="宋体" w:cs="宋体"/>
      <w:b/>
      <w:bCs/>
      <w:sz w:val="36"/>
      <w:szCs w:val="36"/>
      <w:lang w:val="en-US" w:eastAsia="zh-CN" w:bidi="ar-SA"/>
    </w:rPr>
  </w:style>
  <w:style w:type="character" w:customStyle="1" w:styleId="31">
    <w:name w:val="正文缩进 Char"/>
    <w:link w:val="2"/>
    <w:qFormat/>
    <w:locked/>
    <w:uiPriority w:val="0"/>
    <w:rPr>
      <w:rFonts w:eastAsia="宋体"/>
      <w:sz w:val="24"/>
      <w:lang w:bidi="ar-SA"/>
    </w:rPr>
  </w:style>
  <w:style w:type="character" w:customStyle="1" w:styleId="32">
    <w:name w:val="批注文字 Char"/>
    <w:basedOn w:val="19"/>
    <w:link w:val="6"/>
    <w:qFormat/>
    <w:locked/>
    <w:uiPriority w:val="0"/>
    <w:rPr>
      <w:rFonts w:eastAsia="宋体"/>
      <w:kern w:val="2"/>
      <w:sz w:val="21"/>
      <w:szCs w:val="21"/>
      <w:lang w:val="en-US" w:eastAsia="zh-CN" w:bidi="ar-SA"/>
    </w:rPr>
  </w:style>
  <w:style w:type="character" w:customStyle="1" w:styleId="33">
    <w:name w:val="日期 Char"/>
    <w:link w:val="9"/>
    <w:semiHidden/>
    <w:qFormat/>
    <w:locked/>
    <w:uiPriority w:val="0"/>
    <w:rPr>
      <w:rFonts w:cs="Times New Roman"/>
      <w:kern w:val="2"/>
      <w:sz w:val="24"/>
      <w:szCs w:val="24"/>
    </w:rPr>
  </w:style>
  <w:style w:type="character" w:customStyle="1" w:styleId="34">
    <w:name w:val="正文文本缩进 2 Char"/>
    <w:basedOn w:val="19"/>
    <w:link w:val="10"/>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8"/>
    <w:qFormat/>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1</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2025-12-11T03:01:00Z</cp:lastPrinted>
  <dcterms:modified xsi:type="dcterms:W3CDTF">2025-12-17T02:20:14Z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