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号</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eastAsia="方正小标宋简体"/>
          <w:spacing w:val="-17"/>
          <w:sz w:val="44"/>
          <w:szCs w:val="44"/>
          <w:lang w:val="en-US" w:eastAsia="zh-CN"/>
        </w:rPr>
      </w:pPr>
      <w:r>
        <w:rPr>
          <w:rFonts w:eastAsia="方正小标宋简体"/>
          <w:spacing w:val="-17"/>
          <w:sz w:val="44"/>
          <w:szCs w:val="44"/>
        </w:rPr>
        <w:t>关于</w:t>
      </w:r>
      <w:r>
        <w:rPr>
          <w:rFonts w:hint="eastAsia" w:eastAsia="方正小标宋简体"/>
          <w:spacing w:val="-17"/>
          <w:sz w:val="44"/>
          <w:szCs w:val="44"/>
          <w:lang w:val="en-US" w:eastAsia="zh-CN"/>
        </w:rPr>
        <w:t>安徽海栎森汽车科技有限公司年产200万套</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eastAsia="方正小标宋简体"/>
          <w:spacing w:val="-17"/>
          <w:sz w:val="44"/>
          <w:szCs w:val="44"/>
        </w:rPr>
      </w:pPr>
      <w:r>
        <w:rPr>
          <w:rFonts w:hint="eastAsia" w:eastAsia="方正小标宋简体"/>
          <w:spacing w:val="-17"/>
          <w:sz w:val="44"/>
          <w:szCs w:val="44"/>
          <w:lang w:val="en-US" w:eastAsia="zh-CN"/>
        </w:rPr>
        <w:t>汽车照明系统项目</w:t>
      </w:r>
      <w:r>
        <w:rPr>
          <w:rFonts w:eastAsia="方正小标宋简体"/>
          <w:spacing w:val="-17"/>
          <w:sz w:val="44"/>
          <w:szCs w:val="44"/>
        </w:rPr>
        <w:t>环境影响报告表的批复</w:t>
      </w:r>
    </w:p>
    <w:p>
      <w:pPr>
        <w:pStyle w:val="2"/>
        <w:keepNext w:val="0"/>
        <w:keepLines w:val="0"/>
        <w:pageBreakBefore w:val="0"/>
        <w:widowControl w:val="0"/>
        <w:kinsoku/>
        <w:overflowPunct/>
        <w:topLinePunct w:val="0"/>
        <w:autoSpaceDE/>
        <w:autoSpaceDN/>
        <w:bidi w:val="0"/>
        <w:spacing w:line="560" w:lineRule="exact"/>
        <w:textAlignment w:val="auto"/>
      </w:pP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安徽海栎森汽车科技有限公司</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 xml:space="preserve">   你单位报送的《安徽海栎森汽车科技有限公司年产200万套汽车照明系统项目环境影响报告表》（以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0"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keepNext w:val="0"/>
        <w:keepLines w:val="0"/>
        <w:pageBreakBefore w:val="0"/>
        <w:widowControl w:val="0"/>
        <w:kinsoku/>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bCs/>
          <w:sz w:val="32"/>
          <w:szCs w:val="32"/>
          <w:lang w:eastAsia="zh-CN"/>
        </w:rPr>
        <w:t>本项目位于屯溪区九龙低碳经济园区翠薇路 1 号,租赁黄山市屯溪区国有资产投资运营有限公司已建的二号厂房及四号局部厂房进行汽车照明系统生产,总建筑面积为 10793.26</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bCs/>
          <w:sz w:val="32"/>
          <w:szCs w:val="32"/>
          <w:lang w:eastAsia="zh-CN"/>
        </w:rPr>
        <w:t xml:space="preserve"> ,其中二号厂房建筑面积为 9204.61</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bCs/>
          <w:sz w:val="32"/>
          <w:szCs w:val="32"/>
          <w:lang w:eastAsia="zh-CN"/>
        </w:rPr>
        <w:t xml:space="preserve"> ,四号厂房租赁部分建筑面积为 1588.65</w:t>
      </w: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bCs/>
          <w:sz w:val="32"/>
          <w:szCs w:val="32"/>
          <w:lang w:eastAsia="zh-CN"/>
        </w:rPr>
        <w:t xml:space="preserve"> 。项目主要建设内容为二号厂房一层设置 2 条 SMT 配件生产线,二层设置 4 条组装线,四号厂房设置 1 条注塑配件生产线,并配套相应的公辅工程和环保设施。项目建成将形成年产 200 万套汽车照明系统的生产规模。</w:t>
      </w:r>
    </w:p>
    <w:p>
      <w:pPr>
        <w:keepNext w:val="0"/>
        <w:keepLines w:val="0"/>
        <w:pageBreakBefore w:val="0"/>
        <w:widowControl w:val="0"/>
        <w:numPr>
          <w:ilvl w:val="0"/>
          <w:numId w:val="0"/>
        </w:numPr>
        <w:kinsoku/>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屯溪区生态环境分局按照有关职责实施，发现存在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w:t>
      </w:r>
      <w:bookmarkStart w:id="1" w:name="_GoBack"/>
      <w:bookmarkEnd w:id="1"/>
      <w:r>
        <w:rPr>
          <w:rFonts w:hint="default" w:ascii="Times New Roman" w:hAnsi="Times New Roman" w:eastAsia="仿宋_GB2312" w:cs="Times New Roman"/>
          <w:sz w:val="32"/>
          <w:szCs w:val="32"/>
        </w:rPr>
        <w:t>由你单位承担。</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4"/>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xml:space="preserve">日  </w:t>
      </w:r>
      <w:r>
        <w:rPr>
          <w:rFonts w:ascii="Times New Roman" w:hAnsi="Times New Roman" w:eastAsia="方正仿宋_GBK" w:cs="Times New Roman"/>
          <w:sz w:val="32"/>
          <w:szCs w:val="32"/>
        </w:rPr>
        <w:t xml:space="preserve">  </w:t>
      </w:r>
    </w:p>
    <w:p>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仿宋_GB2312" w:cs="Times New Roman"/>
        </w:rPr>
      </w:pPr>
    </w:p>
    <w:p>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仿宋_GB2312" w:cs="Times New Roman"/>
          <w:sz w:val="32"/>
          <w:szCs w:val="32"/>
          <w:lang w:val="en"/>
        </w:rPr>
      </w:pPr>
    </w:p>
    <w:p>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仿宋_GB2312" w:cs="Times New Roman"/>
          <w:sz w:val="32"/>
          <w:szCs w:val="32"/>
          <w:lang w:val="en"/>
        </w:rPr>
      </w:pPr>
    </w:p>
    <w:p>
      <w:pPr>
        <w:keepNext w:val="0"/>
        <w:keepLines w:val="0"/>
        <w:pageBreakBefore w:val="0"/>
        <w:widowControl w:val="0"/>
        <w:kinsoku/>
        <w:overflowPunct/>
        <w:topLinePunct w:val="0"/>
        <w:autoSpaceDE/>
        <w:autoSpaceDN/>
        <w:bidi w:val="0"/>
        <w:spacing w:line="560" w:lineRule="exact"/>
        <w:jc w:val="both"/>
        <w:textAlignment w:val="auto"/>
        <w:rPr>
          <w:rFonts w:ascii="Times New Roman" w:hAnsi="Times New Roman" w:eastAsia="仿宋_GB2312" w:cs="Times New Roman"/>
          <w:sz w:val="32"/>
          <w:szCs w:val="32"/>
          <w:lang w:val="en"/>
        </w:rPr>
      </w:pPr>
    </w:p>
    <w:p>
      <w:pPr>
        <w:pStyle w:val="3"/>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eastAsia" w:eastAsia="仿宋_GB2312"/>
          <w:sz w:val="32"/>
          <w:szCs w:val="32"/>
        </w:rPr>
      </w:pPr>
    </w:p>
    <w:p>
      <w:pPr>
        <w:pStyle w:val="3"/>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jc w:val="both"/>
        <w:rPr>
          <w:rFonts w:hint="eastAsia" w:eastAsia="仿宋_GB2312"/>
          <w:sz w:val="32"/>
          <w:szCs w:val="32"/>
          <w:lang w:val="en-US" w:eastAsia="zh-CN"/>
        </w:rPr>
      </w:pPr>
    </w:p>
    <w:p>
      <w:pPr>
        <w:pStyle w:val="3"/>
        <w:jc w:val="both"/>
        <w:rPr>
          <w:rFonts w:hint="eastAsia" w:eastAsia="仿宋_GB2312"/>
          <w:sz w:val="32"/>
          <w:szCs w:val="32"/>
          <w:lang w:val="en-US" w:eastAsia="zh-CN"/>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tbl>
      <w:tblPr>
        <w:tblStyle w:val="17"/>
        <w:tblpPr w:leftFromText="180" w:rightFromText="180" w:vertAnchor="text" w:horzAnchor="page" w:tblpX="1608" w:tblpY="625"/>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overflowPunct/>
              <w:topLinePunct w:val="0"/>
              <w:autoSpaceDE/>
              <w:autoSpaceDN/>
              <w:bidi w:val="0"/>
              <w:spacing w:line="560" w:lineRule="exact"/>
              <w:ind w:left="1119" w:leftChars="133" w:hanging="840" w:hangingChars="300"/>
              <w:jc w:val="both"/>
              <w:textAlignment w:val="auto"/>
              <w:rPr>
                <w:rFonts w:eastAsia="仿宋_GB2312"/>
                <w:color w:val="000000"/>
                <w:sz w:val="28"/>
                <w:szCs w:val="28"/>
              </w:rPr>
            </w:pPr>
            <w:r>
              <w:rPr>
                <w:rFonts w:hint="eastAsia" w:ascii="Times New Roman" w:hAnsi="Times New Roman" w:eastAsia="仿宋_GB2312" w:cs="Times New Roman"/>
                <w:sz w:val="28"/>
                <w:szCs w:val="28"/>
                <w:lang w:val="en" w:eastAsia="zh-CN"/>
              </w:rPr>
              <w:t>抄送：市生态环境保护综合行政执法支队，</w:t>
            </w:r>
            <w:r>
              <w:rPr>
                <w:rFonts w:eastAsia="仿宋_GB2312"/>
                <w:bCs/>
                <w:sz w:val="28"/>
                <w:szCs w:val="28"/>
              </w:rPr>
              <w:t>屯溪区生态环境分局</w:t>
            </w:r>
            <w:r>
              <w:rPr>
                <w:rFonts w:hint="eastAsia" w:eastAsia="仿宋_GB2312"/>
                <w:bCs/>
                <w:sz w:val="28"/>
                <w:szCs w:val="28"/>
                <w:lang w:eastAsia="zh-CN"/>
              </w:rPr>
              <w:t>，浙江环耀环境建设</w:t>
            </w:r>
            <w:r>
              <w:rPr>
                <w:rFonts w:hint="eastAsia" w:ascii="Times New Roman" w:hAnsi="Times New Roman" w:eastAsia="仿宋_GB2312" w:cs="Times New Roman"/>
                <w:sz w:val="28"/>
                <w:szCs w:val="28"/>
                <w:lang w:val="en"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eastAsia="仿宋_GB2312"/>
                <w:color w:val="000000"/>
                <w:sz w:val="28"/>
                <w:szCs w:val="28"/>
              </w:rPr>
            </w:pPr>
            <w:r>
              <w:rPr>
                <w:rFonts w:eastAsia="仿宋_GB2312"/>
                <w:color w:val="000000"/>
                <w:sz w:val="28"/>
                <w:szCs w:val="28"/>
              </w:rPr>
              <w:t>黄山市生态环境局                    202</w:t>
            </w:r>
            <w:r>
              <w:rPr>
                <w:rFonts w:hint="eastAsia" w:eastAsia="仿宋_GB2312"/>
                <w:color w:val="000000"/>
                <w:sz w:val="28"/>
                <w:szCs w:val="28"/>
              </w:rPr>
              <w:t>5</w:t>
            </w:r>
            <w:r>
              <w:rPr>
                <w:rFonts w:eastAsia="仿宋_GB2312"/>
                <w:color w:val="000000"/>
                <w:sz w:val="28"/>
                <w:szCs w:val="28"/>
              </w:rPr>
              <w:t>年</w:t>
            </w:r>
            <w:r>
              <w:rPr>
                <w:rFonts w:hint="eastAsia" w:eastAsia="仿宋_GB2312"/>
                <w:color w:val="000000"/>
                <w:sz w:val="28"/>
                <w:szCs w:val="28"/>
                <w:lang w:val="en-US" w:eastAsia="zh-CN"/>
              </w:rPr>
              <w:t>12</w:t>
            </w:r>
            <w:r>
              <w:rPr>
                <w:rFonts w:eastAsia="仿宋_GB2312"/>
                <w:color w:val="000000"/>
                <w:sz w:val="28"/>
                <w:szCs w:val="28"/>
              </w:rPr>
              <w:t>月</w:t>
            </w:r>
            <w:r>
              <w:rPr>
                <w:rFonts w:hint="eastAsia" w:eastAsia="仿宋_GB2312"/>
                <w:color w:val="000000"/>
                <w:sz w:val="28"/>
                <w:szCs w:val="28"/>
                <w:lang w:val="en-US" w:eastAsia="zh-CN"/>
              </w:rPr>
              <w:t>11</w:t>
            </w:r>
            <w:r>
              <w:rPr>
                <w:rFonts w:eastAsia="仿宋_GB2312"/>
                <w:color w:val="000000"/>
                <w:sz w:val="28"/>
                <w:szCs w:val="28"/>
              </w:rPr>
              <w:t>日印发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065668"/>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0BD61C9"/>
    <w:rsid w:val="21D267A7"/>
    <w:rsid w:val="22E05C1E"/>
    <w:rsid w:val="22ED7531"/>
    <w:rsid w:val="230C5CE8"/>
    <w:rsid w:val="237E064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5776DC"/>
    <w:rsid w:val="32CE6B16"/>
    <w:rsid w:val="32F12373"/>
    <w:rsid w:val="33E118EB"/>
    <w:rsid w:val="347A2B44"/>
    <w:rsid w:val="34DA491F"/>
    <w:rsid w:val="35461462"/>
    <w:rsid w:val="35633A5B"/>
    <w:rsid w:val="358D2CB9"/>
    <w:rsid w:val="36403B1B"/>
    <w:rsid w:val="36965340"/>
    <w:rsid w:val="36DD2A9E"/>
    <w:rsid w:val="37B418AC"/>
    <w:rsid w:val="381D6DB0"/>
    <w:rsid w:val="38FE4203"/>
    <w:rsid w:val="39385A7A"/>
    <w:rsid w:val="39513FFD"/>
    <w:rsid w:val="3A1351FB"/>
    <w:rsid w:val="3A3A2197"/>
    <w:rsid w:val="3A3C4D2A"/>
    <w:rsid w:val="3A9B63FB"/>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9E076BE"/>
    <w:rsid w:val="4A0B01F8"/>
    <w:rsid w:val="4A2B33FF"/>
    <w:rsid w:val="4A4C2CEB"/>
    <w:rsid w:val="4C916B1C"/>
    <w:rsid w:val="4DD3040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265B0F"/>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550149"/>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qFormat/>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next w:val="1"/>
    <w:link w:val="34"/>
    <w:qFormat/>
    <w:uiPriority w:val="0"/>
    <w:pPr>
      <w:spacing w:line="590" w:lineRule="exact"/>
      <w:ind w:firstLine="880" w:firstLineChars="200"/>
    </w:pPr>
    <w:rPr>
      <w:rFonts w:eastAsia="方正仿宋_GBK"/>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1</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2025-12-11T03:01:30Z</cp:lastPrinted>
  <dcterms:modified xsi:type="dcterms:W3CDTF">2025-12-11T03:01:33Z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