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76" w:beforeLines="1050" w:after="624" w:afterLines="200" w:line="560" w:lineRule="exact"/>
        <w:ind w:right="-334" w:rightChars="-159"/>
        <w:jc w:val="center"/>
        <w:rPr>
          <w:rFonts w:eastAsia="方正小标宋_GBK"/>
          <w:sz w:val="44"/>
          <w:szCs w:val="44"/>
        </w:rPr>
      </w:pPr>
      <w:r>
        <w:rPr>
          <w:rFonts w:eastAsia="仿宋_GB2312"/>
          <w:sz w:val="32"/>
          <w:szCs w:val="32"/>
        </w:rPr>
        <w:t>黄环建函〔2024〕</w:t>
      </w:r>
      <w:r>
        <w:rPr>
          <w:rFonts w:hint="eastAsia" w:eastAsia="仿宋_GB2312"/>
          <w:sz w:val="32"/>
          <w:szCs w:val="32"/>
        </w:rPr>
        <w:t>12</w:t>
      </w:r>
      <w:r>
        <w:rPr>
          <w:rFonts w:eastAsia="仿宋_GB2312"/>
          <w:sz w:val="32"/>
          <w:szCs w:val="32"/>
        </w:rPr>
        <w:t>号</w:t>
      </w:r>
    </w:p>
    <w:p>
      <w:pPr>
        <w:spacing w:line="5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关于安徽泰达新材料股份有限公司年产3万吨偏苯三酸酐及1500吨均苯三甲酸生产</w:t>
      </w:r>
    </w:p>
    <w:p>
      <w:pPr>
        <w:spacing w:line="5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项目环境影响报告书的批复</w:t>
      </w:r>
    </w:p>
    <w:p>
      <w:pPr>
        <w:spacing w:line="560" w:lineRule="exact"/>
        <w:ind w:firstLine="480" w:firstLineChars="200"/>
        <w:rPr>
          <w:color w:val="000000" w:themeColor="text1"/>
          <w:kern w:val="0"/>
          <w:sz w:val="24"/>
          <w:szCs w:val="20"/>
        </w:rPr>
      </w:pPr>
    </w:p>
    <w:p>
      <w:pPr>
        <w:spacing w:line="560" w:lineRule="exact"/>
        <w:rPr>
          <w:rFonts w:ascii="仿宋" w:hAnsi="仿宋" w:eastAsia="仿宋"/>
          <w:color w:val="000000" w:themeColor="text1"/>
          <w:sz w:val="32"/>
          <w:szCs w:val="32"/>
          <w:lang w:val="zh-CN"/>
        </w:rPr>
      </w:pPr>
      <w:r>
        <w:rPr>
          <w:rFonts w:hint="eastAsia" w:ascii="仿宋" w:hAnsi="仿宋" w:eastAsia="仿宋"/>
          <w:color w:val="000000" w:themeColor="text1"/>
          <w:sz w:val="32"/>
          <w:szCs w:val="32"/>
        </w:rPr>
        <w:t>安徽泰达新材料股份有限公司</w:t>
      </w:r>
      <w:r>
        <w:rPr>
          <w:rFonts w:hint="eastAsia" w:ascii="仿宋" w:hAnsi="仿宋" w:eastAsia="仿宋"/>
          <w:color w:val="000000" w:themeColor="text1"/>
          <w:sz w:val="32"/>
          <w:szCs w:val="32"/>
          <w:lang w:val="zh-CN"/>
        </w:rPr>
        <w:t>：</w:t>
      </w:r>
      <w:r>
        <w:rPr>
          <w:rFonts w:hint="eastAsia" w:ascii="仿宋" w:hAnsi="仿宋" w:eastAsia="仿宋"/>
          <w:color w:val="000000" w:themeColor="text1"/>
          <w:sz w:val="32"/>
          <w:szCs w:val="32"/>
          <w:lang w:val="zh-CN"/>
        </w:rPr>
        <w:tab/>
      </w:r>
    </w:p>
    <w:p>
      <w:pPr>
        <w:snapToGrid w:val="0"/>
        <w:spacing w:line="560" w:lineRule="exact"/>
        <w:ind w:firstLine="640" w:firstLineChars="200"/>
        <w:rPr>
          <w:rFonts w:eastAsia="仿宋_GB2312"/>
          <w:color w:val="000000" w:themeColor="text1"/>
          <w:sz w:val="32"/>
          <w:szCs w:val="32"/>
          <w:lang w:val="zh-CN"/>
        </w:rPr>
      </w:pPr>
      <w:r>
        <w:rPr>
          <w:rFonts w:hint="eastAsia" w:eastAsia="仿宋_GB2312"/>
          <w:color w:val="000000" w:themeColor="text1"/>
          <w:sz w:val="32"/>
          <w:szCs w:val="32"/>
          <w:lang w:val="zh-CN"/>
        </w:rPr>
        <w:t>你公司报来</w:t>
      </w:r>
      <w:r>
        <w:rPr>
          <w:rFonts w:hint="eastAsia" w:eastAsia="仿宋_GB2312"/>
          <w:color w:val="000000" w:themeColor="text1"/>
          <w:sz w:val="32"/>
          <w:szCs w:val="32"/>
        </w:rPr>
        <w:t>年产3万吨偏苯三酸酐及1500吨均苯三甲酸生产项目</w:t>
      </w:r>
      <w:r>
        <w:rPr>
          <w:rFonts w:hint="eastAsia" w:eastAsia="仿宋_GB2312"/>
          <w:color w:val="000000" w:themeColor="text1"/>
          <w:sz w:val="32"/>
          <w:szCs w:val="32"/>
          <w:lang w:val="zh-CN"/>
        </w:rPr>
        <w:t>《行政许可申请书》和安徽恒泽环境科技有限公司编制的《</w:t>
      </w:r>
      <w:r>
        <w:rPr>
          <w:rFonts w:hint="eastAsia" w:eastAsia="仿宋_GB2312"/>
          <w:color w:val="000000" w:themeColor="text1"/>
          <w:sz w:val="32"/>
          <w:szCs w:val="32"/>
        </w:rPr>
        <w:t>安徽泰达新材料股份有限公司年产3万吨偏苯三酸酐及1500吨均苯三甲酸生产项目环境影响报告书</w:t>
      </w:r>
      <w:r>
        <w:rPr>
          <w:rFonts w:hint="eastAsia" w:eastAsia="仿宋_GB2312"/>
          <w:color w:val="000000" w:themeColor="text1"/>
          <w:sz w:val="32"/>
          <w:szCs w:val="32"/>
          <w:lang w:val="zh-CN"/>
        </w:rPr>
        <w:t>》（以下简称《报告书》）悉。经组织专家技术评审，并在黄山市生态环境局网站公示，公众无异议。经研究，现对《报告书》批复如下：</w:t>
      </w:r>
    </w:p>
    <w:p>
      <w:pPr>
        <w:numPr>
          <w:ilvl w:val="0"/>
          <w:numId w:val="1"/>
        </w:numPr>
        <w:snapToGrid w:val="0"/>
        <w:spacing w:line="560" w:lineRule="exact"/>
        <w:ind w:firstLine="640" w:firstLineChars="200"/>
        <w:rPr>
          <w:rFonts w:eastAsia="仿宋_GB2312"/>
          <w:color w:val="000000" w:themeColor="text1"/>
          <w:sz w:val="32"/>
          <w:szCs w:val="32"/>
          <w:lang w:val="zh-CN"/>
        </w:rPr>
      </w:pPr>
      <w:r>
        <w:rPr>
          <w:rFonts w:hint="eastAsia" w:eastAsia="仿宋_GB2312"/>
          <w:color w:val="000000" w:themeColor="text1"/>
          <w:sz w:val="32"/>
          <w:szCs w:val="32"/>
          <w:lang w:val="zh-CN"/>
        </w:rPr>
        <w:t>本项目拟在徽州化工园区紫金路18号</w:t>
      </w:r>
      <w:r>
        <w:rPr>
          <w:rFonts w:eastAsia="仿宋_GB2312"/>
          <w:color w:val="000000" w:themeColor="text1"/>
          <w:sz w:val="32"/>
          <w:szCs w:val="32"/>
          <w:lang w:val="zh-CN"/>
        </w:rPr>
        <w:t>现有厂内进行</w:t>
      </w:r>
      <w:r>
        <w:rPr>
          <w:rFonts w:hint="eastAsia" w:eastAsia="仿宋_GB2312"/>
          <w:color w:val="000000" w:themeColor="text1"/>
          <w:sz w:val="32"/>
          <w:szCs w:val="32"/>
          <w:lang w:val="zh-CN"/>
        </w:rPr>
        <w:t>建设</w:t>
      </w:r>
      <w:r>
        <w:rPr>
          <w:rFonts w:eastAsia="仿宋_GB2312"/>
          <w:color w:val="000000" w:themeColor="text1"/>
          <w:sz w:val="32"/>
          <w:szCs w:val="32"/>
          <w:lang w:val="zh-CN"/>
        </w:rPr>
        <w:t>（</w:t>
      </w:r>
      <w:r>
        <w:rPr>
          <w:rFonts w:hint="eastAsia" w:eastAsia="仿宋_GB2312"/>
          <w:color w:val="000000" w:themeColor="text1"/>
          <w:sz w:val="32"/>
          <w:szCs w:val="32"/>
          <w:lang w:val="zh-CN"/>
        </w:rPr>
        <w:t>东经118度21分</w:t>
      </w:r>
      <w:r>
        <w:rPr>
          <w:rFonts w:eastAsia="仿宋_GB2312"/>
          <w:color w:val="000000" w:themeColor="text1"/>
          <w:sz w:val="32"/>
          <w:szCs w:val="32"/>
          <w:lang w:val="zh-CN"/>
        </w:rPr>
        <w:t>27.441</w:t>
      </w:r>
      <w:r>
        <w:rPr>
          <w:rFonts w:hint="eastAsia" w:eastAsia="仿宋_GB2312"/>
          <w:color w:val="000000" w:themeColor="text1"/>
          <w:sz w:val="32"/>
          <w:szCs w:val="32"/>
          <w:lang w:val="zh-CN"/>
        </w:rPr>
        <w:t>秒，北纬29度49分</w:t>
      </w:r>
      <w:r>
        <w:rPr>
          <w:rFonts w:eastAsia="仿宋_GB2312"/>
          <w:color w:val="000000" w:themeColor="text1"/>
          <w:sz w:val="32"/>
          <w:szCs w:val="32"/>
          <w:lang w:val="zh-CN"/>
        </w:rPr>
        <w:t>45.576</w:t>
      </w:r>
      <w:r>
        <w:rPr>
          <w:rFonts w:hint="eastAsia" w:eastAsia="仿宋_GB2312"/>
          <w:color w:val="000000" w:themeColor="text1"/>
          <w:sz w:val="32"/>
          <w:szCs w:val="32"/>
          <w:lang w:val="zh-CN"/>
        </w:rPr>
        <w:t>秒</w:t>
      </w:r>
      <w:r>
        <w:rPr>
          <w:rFonts w:eastAsia="仿宋_GB2312"/>
          <w:color w:val="000000" w:themeColor="text1"/>
          <w:sz w:val="32"/>
          <w:szCs w:val="32"/>
          <w:lang w:val="zh-CN"/>
        </w:rPr>
        <w:t>）</w:t>
      </w:r>
      <w:r>
        <w:rPr>
          <w:rFonts w:hint="eastAsia" w:eastAsia="仿宋_GB2312"/>
          <w:color w:val="000000" w:themeColor="text1"/>
          <w:sz w:val="32"/>
          <w:szCs w:val="32"/>
          <w:lang w:val="zh-CN"/>
        </w:rPr>
        <w:t>，总占地面积约</w:t>
      </w:r>
      <w:r>
        <w:rPr>
          <w:rFonts w:hint="eastAsia" w:eastAsia="仿宋_GB2312"/>
          <w:color w:val="000000" w:themeColor="text1"/>
          <w:sz w:val="32"/>
          <w:szCs w:val="32"/>
        </w:rPr>
        <w:t>100亩</w:t>
      </w:r>
      <w:r>
        <w:rPr>
          <w:rFonts w:hint="eastAsia" w:eastAsia="仿宋_GB2312"/>
          <w:color w:val="000000" w:themeColor="text1"/>
          <w:sz w:val="32"/>
          <w:szCs w:val="32"/>
          <w:lang w:val="zh-CN"/>
        </w:rPr>
        <w:t>，新增建筑面积</w:t>
      </w:r>
      <w:r>
        <w:rPr>
          <w:rFonts w:hint="eastAsia" w:eastAsia="仿宋_GB2312"/>
          <w:color w:val="000000" w:themeColor="text1"/>
          <w:sz w:val="32"/>
          <w:szCs w:val="32"/>
        </w:rPr>
        <w:t>2733.54</w:t>
      </w:r>
      <w:r>
        <w:rPr>
          <w:rFonts w:hint="eastAsia" w:eastAsia="仿宋_GB2312"/>
          <w:color w:val="000000" w:themeColor="text1"/>
          <w:sz w:val="32"/>
          <w:szCs w:val="32"/>
          <w:lang w:val="zh-CN"/>
        </w:rPr>
        <w:t>m</w:t>
      </w:r>
      <w:r>
        <w:rPr>
          <w:rFonts w:hint="eastAsia" w:eastAsia="仿宋_GB2312"/>
          <w:color w:val="000000" w:themeColor="text1"/>
          <w:sz w:val="32"/>
          <w:szCs w:val="32"/>
          <w:vertAlign w:val="superscript"/>
          <w:lang w:val="zh-CN"/>
        </w:rPr>
        <w:t>2</w:t>
      </w:r>
      <w:r>
        <w:rPr>
          <w:rFonts w:hint="eastAsia" w:eastAsia="仿宋_GB2312"/>
          <w:color w:val="000000" w:themeColor="text1"/>
          <w:sz w:val="32"/>
          <w:szCs w:val="32"/>
          <w:lang w:val="zh-CN"/>
        </w:rPr>
        <w:t>，总投资</w:t>
      </w:r>
      <w:r>
        <w:rPr>
          <w:rFonts w:eastAsia="仿宋_GB2312"/>
          <w:color w:val="000000" w:themeColor="text1"/>
          <w:sz w:val="32"/>
          <w:szCs w:val="32"/>
          <w:lang w:val="zh-CN"/>
        </w:rPr>
        <w:t>23261</w:t>
      </w:r>
      <w:r>
        <w:rPr>
          <w:rFonts w:hint="eastAsia" w:eastAsia="仿宋_GB2312"/>
          <w:color w:val="000000" w:themeColor="text1"/>
          <w:sz w:val="32"/>
          <w:szCs w:val="32"/>
          <w:lang w:val="zh-CN"/>
        </w:rPr>
        <w:t>万元，其中环保投资</w:t>
      </w:r>
      <w:r>
        <w:rPr>
          <w:rFonts w:hint="eastAsia" w:eastAsia="仿宋_GB2312"/>
          <w:color w:val="000000" w:themeColor="text1"/>
          <w:sz w:val="32"/>
          <w:szCs w:val="32"/>
        </w:rPr>
        <w:t>2183</w:t>
      </w:r>
      <w:r>
        <w:rPr>
          <w:rFonts w:hint="eastAsia" w:eastAsia="仿宋_GB2312"/>
          <w:color w:val="000000" w:themeColor="text1"/>
          <w:sz w:val="32"/>
          <w:szCs w:val="32"/>
          <w:lang w:val="zh-CN"/>
        </w:rPr>
        <w:t>万元。项目</w:t>
      </w:r>
      <w:r>
        <w:rPr>
          <w:rFonts w:eastAsia="仿宋_GB2312"/>
          <w:color w:val="000000" w:themeColor="text1"/>
          <w:sz w:val="32"/>
          <w:szCs w:val="32"/>
          <w:lang w:val="zh-CN"/>
        </w:rPr>
        <w:t>主要新建一栋生产车间，</w:t>
      </w:r>
      <w:r>
        <w:rPr>
          <w:rFonts w:hint="eastAsia" w:eastAsia="仿宋_GB2312"/>
          <w:color w:val="000000" w:themeColor="text1"/>
          <w:sz w:val="32"/>
          <w:szCs w:val="32"/>
          <w:lang w:val="zh-CN"/>
        </w:rPr>
        <w:t>建设一套偏苯三酸酐生产装置，一套均苯三甲酸生产装置，配置相关</w:t>
      </w:r>
      <w:bookmarkStart w:id="25" w:name="_GoBack"/>
      <w:bookmarkEnd w:id="25"/>
      <w:r>
        <w:rPr>
          <w:rFonts w:hint="eastAsia" w:eastAsia="仿宋_GB2312"/>
          <w:color w:val="000000" w:themeColor="text1"/>
          <w:sz w:val="32"/>
          <w:szCs w:val="32"/>
          <w:lang w:val="zh-CN"/>
        </w:rPr>
        <w:t>生产设备</w:t>
      </w:r>
      <w:bookmarkStart w:id="0" w:name="OLE_LINK1"/>
      <w:r>
        <w:rPr>
          <w:rFonts w:hint="eastAsia" w:eastAsia="仿宋_GB2312"/>
          <w:color w:val="000000" w:themeColor="text1"/>
          <w:sz w:val="32"/>
          <w:szCs w:val="32"/>
          <w:lang w:val="zh-CN"/>
        </w:rPr>
        <w:t>，配套</w:t>
      </w:r>
      <w:bookmarkStart w:id="1" w:name="OLE_LINK2"/>
      <w:r>
        <w:rPr>
          <w:rFonts w:hint="eastAsia" w:eastAsia="仿宋_GB2312"/>
          <w:color w:val="000000" w:themeColor="text1"/>
          <w:sz w:val="32"/>
          <w:szCs w:val="32"/>
          <w:lang w:val="zh-CN"/>
        </w:rPr>
        <w:t>建设</w:t>
      </w:r>
      <w:bookmarkStart w:id="2" w:name="OLE_LINK18"/>
      <w:r>
        <w:rPr>
          <w:rFonts w:hint="eastAsia" w:eastAsia="仿宋_GB2312"/>
          <w:color w:val="000000" w:themeColor="text1"/>
          <w:sz w:val="32"/>
          <w:szCs w:val="32"/>
          <w:lang w:val="zh-CN"/>
        </w:rPr>
        <w:t>污水处理用碳源乙酸钠</w:t>
      </w:r>
      <w:bookmarkEnd w:id="1"/>
      <w:bookmarkEnd w:id="2"/>
      <w:r>
        <w:rPr>
          <w:rFonts w:hint="eastAsia" w:eastAsia="仿宋_GB2312"/>
          <w:color w:val="000000" w:themeColor="text1"/>
          <w:sz w:val="32"/>
          <w:szCs w:val="32"/>
          <w:lang w:val="zh-CN"/>
        </w:rPr>
        <w:t>生产装置，</w:t>
      </w:r>
      <w:bookmarkEnd w:id="0"/>
      <w:r>
        <w:rPr>
          <w:rFonts w:hint="eastAsia" w:eastAsia="仿宋_GB2312"/>
          <w:color w:val="000000" w:themeColor="text1"/>
          <w:sz w:val="32"/>
          <w:szCs w:val="32"/>
          <w:lang w:val="zh-CN"/>
        </w:rPr>
        <w:t>新建一台1.5t/h精馏残渣危废焚烧炉替代现有1t/h危废焚烧炉，改造提升及配套新建相应的环保设施、环境风险防范措施以及公用、辅助、储运等设施，新增年产30000吨</w:t>
      </w:r>
      <w:bookmarkStart w:id="3" w:name="OLE_LINK5"/>
      <w:r>
        <w:rPr>
          <w:rFonts w:hint="eastAsia" w:eastAsia="仿宋_GB2312"/>
          <w:color w:val="000000" w:themeColor="text1"/>
          <w:sz w:val="32"/>
          <w:szCs w:val="32"/>
          <w:lang w:val="zh-CN"/>
        </w:rPr>
        <w:t>偏苯三酸酐</w:t>
      </w:r>
      <w:bookmarkEnd w:id="3"/>
      <w:r>
        <w:rPr>
          <w:rFonts w:hint="eastAsia" w:eastAsia="仿宋_GB2312"/>
          <w:color w:val="000000" w:themeColor="text1"/>
          <w:sz w:val="32"/>
          <w:szCs w:val="32"/>
          <w:lang w:val="zh-CN"/>
        </w:rPr>
        <w:t>、1500吨</w:t>
      </w:r>
      <w:bookmarkStart w:id="4" w:name="OLE_LINK6"/>
      <w:r>
        <w:rPr>
          <w:rFonts w:hint="eastAsia" w:eastAsia="仿宋_GB2312"/>
          <w:color w:val="000000" w:themeColor="text1"/>
          <w:sz w:val="32"/>
          <w:szCs w:val="32"/>
          <w:lang w:val="zh-CN"/>
        </w:rPr>
        <w:t>均苯三甲酸</w:t>
      </w:r>
      <w:bookmarkEnd w:id="4"/>
      <w:r>
        <w:rPr>
          <w:rFonts w:hint="eastAsia" w:eastAsia="仿宋_GB2312"/>
          <w:color w:val="000000" w:themeColor="text1"/>
          <w:sz w:val="32"/>
          <w:szCs w:val="32"/>
          <w:lang w:val="zh-CN"/>
        </w:rPr>
        <w:t>。项目</w:t>
      </w:r>
      <w:r>
        <w:rPr>
          <w:rFonts w:hint="eastAsia" w:eastAsia="仿宋_GB2312"/>
          <w:color w:val="000000" w:themeColor="text1"/>
          <w:sz w:val="32"/>
          <w:szCs w:val="32"/>
        </w:rPr>
        <w:t>扩建后</w:t>
      </w:r>
      <w:r>
        <w:rPr>
          <w:rFonts w:hint="eastAsia" w:eastAsia="仿宋_GB2312"/>
          <w:color w:val="000000" w:themeColor="text1"/>
          <w:sz w:val="32"/>
          <w:szCs w:val="32"/>
          <w:lang w:val="zh-CN"/>
        </w:rPr>
        <w:t>，全厂年</w:t>
      </w:r>
      <w:r>
        <w:rPr>
          <w:rFonts w:eastAsia="仿宋_GB2312"/>
          <w:color w:val="000000" w:themeColor="text1"/>
          <w:sz w:val="32"/>
          <w:szCs w:val="32"/>
          <w:lang w:val="zh-CN"/>
        </w:rPr>
        <w:t>产偏苯三酸酐59500吨、均苯三甲酸2000吨</w:t>
      </w:r>
      <w:r>
        <w:rPr>
          <w:rFonts w:hint="eastAsia" w:eastAsia="仿宋_GB2312"/>
          <w:color w:val="000000" w:themeColor="text1"/>
          <w:sz w:val="32"/>
          <w:szCs w:val="32"/>
          <w:lang w:val="zh-CN"/>
        </w:rPr>
        <w:t>。</w:t>
      </w:r>
    </w:p>
    <w:p>
      <w:pPr>
        <w:numPr>
          <w:ilvl w:val="0"/>
          <w:numId w:val="1"/>
        </w:numPr>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lang w:val="zh-CN"/>
        </w:rPr>
        <w:t>从生态环境保护角度，我局同意你公司按《报告书》所列建设项目的性质、规模、地点、采用的生产工艺和拟采取的各项环境保护措施进行建设，并重点做好以下工作：</w:t>
      </w:r>
    </w:p>
    <w:p>
      <w:pPr>
        <w:snapToGrid w:val="0"/>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1、项目应按照“以新带老”的原则，对厂区所有已建内容进行排查，对存在的环境问题和《报告书》中明确的现有工程存在环境问题进行整改达到现行环境管理要求，并纳入本项目验收范围。</w:t>
      </w:r>
    </w:p>
    <w:p>
      <w:pPr>
        <w:widowControl/>
        <w:spacing w:line="560" w:lineRule="exact"/>
        <w:ind w:firstLine="640" w:firstLineChars="200"/>
        <w:rPr>
          <w:rFonts w:eastAsia="仿宋_GB2312"/>
          <w:bCs/>
          <w:color w:val="000000" w:themeColor="text1"/>
          <w:sz w:val="32"/>
          <w:szCs w:val="32"/>
        </w:rPr>
      </w:pPr>
      <w:r>
        <w:rPr>
          <w:rFonts w:hint="eastAsia" w:eastAsia="仿宋_GB2312"/>
          <w:color w:val="000000" w:themeColor="text1"/>
          <w:sz w:val="32"/>
          <w:szCs w:val="32"/>
        </w:rPr>
        <w:t>2、</w:t>
      </w:r>
      <w:r>
        <w:rPr>
          <w:rFonts w:eastAsia="仿宋_GB2312"/>
          <w:color w:val="000000" w:themeColor="text1"/>
          <w:sz w:val="32"/>
          <w:szCs w:val="32"/>
        </w:rPr>
        <w:t>落实地表水环境保护措施。</w:t>
      </w:r>
      <w:r>
        <w:rPr>
          <w:rFonts w:hint="eastAsia" w:eastAsia="仿宋_GB2312"/>
          <w:color w:val="000000" w:themeColor="text1"/>
          <w:sz w:val="32"/>
          <w:szCs w:val="32"/>
        </w:rPr>
        <w:t>全厂</w:t>
      </w:r>
      <w:r>
        <w:rPr>
          <w:rFonts w:eastAsia="仿宋_GB2312"/>
          <w:color w:val="000000" w:themeColor="text1"/>
          <w:sz w:val="32"/>
          <w:szCs w:val="32"/>
        </w:rPr>
        <w:t>排水系统应实行雨污分流</w:t>
      </w:r>
      <w:r>
        <w:rPr>
          <w:rFonts w:hint="eastAsia" w:eastAsia="仿宋_GB2312"/>
          <w:color w:val="000000" w:themeColor="text1"/>
          <w:sz w:val="32"/>
          <w:szCs w:val="32"/>
        </w:rPr>
        <w:t>、污污分流</w:t>
      </w:r>
      <w:r>
        <w:rPr>
          <w:rFonts w:eastAsia="仿宋_GB2312"/>
          <w:color w:val="000000" w:themeColor="text1"/>
          <w:sz w:val="32"/>
          <w:szCs w:val="32"/>
        </w:rPr>
        <w:t>，污水管网须</w:t>
      </w:r>
      <w:r>
        <w:rPr>
          <w:rFonts w:hint="eastAsia" w:eastAsia="仿宋_GB2312"/>
          <w:color w:val="000000" w:themeColor="text1"/>
          <w:sz w:val="32"/>
          <w:szCs w:val="32"/>
        </w:rPr>
        <w:t>管道</w:t>
      </w:r>
      <w:r>
        <w:rPr>
          <w:rFonts w:eastAsia="仿宋_GB2312"/>
          <w:color w:val="000000" w:themeColor="text1"/>
          <w:sz w:val="32"/>
          <w:szCs w:val="32"/>
        </w:rPr>
        <w:t>架空布设</w:t>
      </w:r>
      <w:r>
        <w:rPr>
          <w:rFonts w:hint="eastAsia" w:eastAsia="仿宋_GB2312"/>
          <w:color w:val="000000" w:themeColor="text1"/>
          <w:sz w:val="32"/>
          <w:szCs w:val="32"/>
        </w:rPr>
        <w:t>。对现有的雨、污水管网和应急导流管网系统进行全面排查，对于不符合要求及不能利用的管网，按规范要求新建，确保全厂雨污分流、初期雨水的收集及应急导流管网系统的畅通。</w:t>
      </w:r>
      <w:r>
        <w:rPr>
          <w:rFonts w:hint="eastAsia" w:eastAsia="仿宋_GB2312"/>
          <w:bCs/>
          <w:color w:val="000000" w:themeColor="text1"/>
          <w:sz w:val="32"/>
          <w:szCs w:val="32"/>
        </w:rPr>
        <w:t>对现有污水处理站进行提升改造，处理规模维持600t/d不变，工艺提升为“调节+两级IC厌氧反应器+两级生物接触氧化+二沉池”。</w:t>
      </w:r>
      <w:bookmarkStart w:id="5" w:name="OLE_LINK3"/>
      <w:r>
        <w:rPr>
          <w:rFonts w:hint="eastAsia" w:eastAsia="仿宋_GB2312"/>
          <w:bCs/>
          <w:color w:val="000000" w:themeColor="text1"/>
          <w:sz w:val="32"/>
          <w:szCs w:val="32"/>
        </w:rPr>
        <w:t>焚烧炉烟气处理废水经中和预处理后，与真空泵置换排水、</w:t>
      </w:r>
      <w:bookmarkEnd w:id="5"/>
      <w:r>
        <w:rPr>
          <w:rFonts w:hint="eastAsia" w:eastAsia="仿宋_GB2312"/>
          <w:bCs/>
          <w:color w:val="000000" w:themeColor="text1"/>
          <w:sz w:val="32"/>
          <w:szCs w:val="32"/>
        </w:rPr>
        <w:t>抽滤废水、醋酸钠浓缩废水、设备及地坪冲洗水、软水制备排水、</w:t>
      </w:r>
      <w:bookmarkStart w:id="6" w:name="OLE_LINK4"/>
      <w:r>
        <w:rPr>
          <w:rFonts w:hint="eastAsia" w:eastAsia="仿宋_GB2312"/>
          <w:bCs/>
          <w:color w:val="000000" w:themeColor="text1"/>
          <w:sz w:val="32"/>
          <w:szCs w:val="32"/>
        </w:rPr>
        <w:t>余热锅炉定期排水</w:t>
      </w:r>
      <w:bookmarkEnd w:id="6"/>
      <w:r>
        <w:rPr>
          <w:rFonts w:hint="eastAsia" w:eastAsia="仿宋_GB2312"/>
          <w:bCs/>
          <w:color w:val="000000" w:themeColor="text1"/>
          <w:sz w:val="32"/>
          <w:szCs w:val="32"/>
        </w:rPr>
        <w:t>、实验室废水、生活污水、初期雨水一并进入厂区污水处理站处理，间接冷却循环排水排入厂区总排口监控池，废水中</w:t>
      </w:r>
      <w:bookmarkStart w:id="7" w:name="OLE_LINK10"/>
      <w:r>
        <w:rPr>
          <w:rFonts w:hint="eastAsia" w:eastAsia="仿宋_GB2312"/>
          <w:bCs/>
          <w:color w:val="000000" w:themeColor="text1"/>
          <w:sz w:val="32"/>
          <w:szCs w:val="32"/>
        </w:rPr>
        <w:t>pH、COD、BOD</w:t>
      </w:r>
      <w:r>
        <w:rPr>
          <w:rFonts w:hint="eastAsia" w:eastAsia="仿宋_GB2312"/>
          <w:bCs/>
          <w:color w:val="000000" w:themeColor="text1"/>
          <w:sz w:val="32"/>
          <w:szCs w:val="32"/>
          <w:vertAlign w:val="subscript"/>
        </w:rPr>
        <w:t>5</w:t>
      </w:r>
      <w:r>
        <w:rPr>
          <w:rFonts w:hint="eastAsia" w:eastAsia="仿宋_GB2312"/>
          <w:bCs/>
          <w:color w:val="000000" w:themeColor="text1"/>
          <w:sz w:val="32"/>
          <w:szCs w:val="32"/>
        </w:rPr>
        <w:t>、SS、氨氮、TN、TP、石油类、挥发酚和氟化物等</w:t>
      </w:r>
      <w:bookmarkEnd w:id="7"/>
      <w:r>
        <w:rPr>
          <w:rFonts w:hint="eastAsia" w:eastAsia="仿宋_GB2312"/>
          <w:bCs/>
          <w:color w:val="000000" w:themeColor="text1"/>
          <w:sz w:val="32"/>
          <w:szCs w:val="32"/>
        </w:rPr>
        <w:t>污染物在厂区总排口达到《石油化学工业污染物排放标准（GB 31571-2015）》表1中的间接排放限值和园区双益污水处理厂接管协议限值，再经园区污水处理厂处理达到《污水综合排放标准》（GB8978-1996）表4中三级标准及徽州区污水处理厂接管标准后排入至徽州区污水处理厂处理后排入丰乐河。废水按要求建设规范化排污口。</w:t>
      </w:r>
    </w:p>
    <w:p>
      <w:pPr>
        <w:widowControl/>
        <w:spacing w:line="560" w:lineRule="exact"/>
        <w:ind w:firstLine="640"/>
        <w:rPr>
          <w:rFonts w:eastAsia="仿宋_GB2312"/>
          <w:bCs/>
          <w:color w:val="000000" w:themeColor="text1"/>
          <w:sz w:val="32"/>
          <w:szCs w:val="32"/>
        </w:rPr>
      </w:pPr>
      <w:r>
        <w:rPr>
          <w:rFonts w:hint="eastAsia" w:eastAsia="仿宋_GB2312"/>
          <w:bCs/>
          <w:color w:val="000000" w:themeColor="text1"/>
          <w:sz w:val="32"/>
          <w:szCs w:val="32"/>
        </w:rPr>
        <w:t>3、</w:t>
      </w:r>
      <w:r>
        <w:rPr>
          <w:rFonts w:eastAsia="仿宋_GB2312"/>
          <w:color w:val="000000" w:themeColor="text1"/>
          <w:sz w:val="32"/>
          <w:szCs w:val="32"/>
        </w:rPr>
        <w:t>落实大气污染防治措施。</w:t>
      </w:r>
      <w:r>
        <w:rPr>
          <w:rFonts w:hint="eastAsia" w:eastAsia="仿宋_GB2312"/>
          <w:bCs/>
          <w:color w:val="000000" w:themeColor="text1"/>
          <w:sz w:val="32"/>
          <w:szCs w:val="32"/>
        </w:rPr>
        <w:t>项目应确保所在区域环境空气质量达到《环境空气质量标准》（GB 3095-2012）及2018年修改单中规定的二级浓度限值，非甲烷总烃参照执行《大气污染物综合排放标准详解》中的推荐值标准，NH</w:t>
      </w:r>
      <w:r>
        <w:rPr>
          <w:rFonts w:hint="eastAsia" w:eastAsia="仿宋_GB2312"/>
          <w:bCs/>
          <w:color w:val="000000" w:themeColor="text1"/>
          <w:sz w:val="32"/>
          <w:szCs w:val="32"/>
          <w:vertAlign w:val="subscript"/>
        </w:rPr>
        <w:t>3</w:t>
      </w:r>
      <w:r>
        <w:rPr>
          <w:rFonts w:hint="eastAsia" w:eastAsia="仿宋_GB2312"/>
          <w:bCs/>
          <w:color w:val="000000" w:themeColor="text1"/>
          <w:sz w:val="32"/>
          <w:szCs w:val="32"/>
        </w:rPr>
        <w:t>、H</w:t>
      </w:r>
      <w:r>
        <w:rPr>
          <w:rFonts w:hint="eastAsia" w:eastAsia="仿宋_GB2312"/>
          <w:bCs/>
          <w:color w:val="000000" w:themeColor="text1"/>
          <w:sz w:val="32"/>
          <w:szCs w:val="32"/>
          <w:vertAlign w:val="subscript"/>
        </w:rPr>
        <w:t>2</w:t>
      </w:r>
      <w:r>
        <w:rPr>
          <w:rFonts w:hint="eastAsia" w:eastAsia="仿宋_GB2312"/>
          <w:bCs/>
          <w:color w:val="000000" w:themeColor="text1"/>
          <w:sz w:val="32"/>
          <w:szCs w:val="32"/>
        </w:rPr>
        <w:t>S、二甲苯、锰及其化合物执行</w:t>
      </w:r>
      <w:bookmarkStart w:id="8" w:name="OLE_LINK24"/>
      <w:r>
        <w:rPr>
          <w:rFonts w:hint="eastAsia" w:eastAsia="仿宋_GB2312"/>
          <w:bCs/>
          <w:color w:val="000000" w:themeColor="text1"/>
          <w:sz w:val="32"/>
          <w:szCs w:val="32"/>
        </w:rPr>
        <w:t>《环境影响评价技术导则 大气环境》（HJ2.2-2018）附录D</w:t>
      </w:r>
      <w:bookmarkEnd w:id="8"/>
      <w:r>
        <w:rPr>
          <w:rFonts w:hint="eastAsia" w:eastAsia="仿宋_GB2312"/>
          <w:bCs/>
          <w:color w:val="000000" w:themeColor="text1"/>
          <w:sz w:val="32"/>
          <w:szCs w:val="32"/>
        </w:rPr>
        <w:t>中的质量浓度参考限值，二</w:t>
      </w:r>
      <w:r>
        <w:rPr>
          <w:rFonts w:hint="eastAsia" w:ascii="宋体" w:hAnsi="宋体" w:cs="宋体"/>
          <w:bCs/>
          <w:color w:val="000000" w:themeColor="text1"/>
          <w:sz w:val="32"/>
          <w:szCs w:val="32"/>
        </w:rPr>
        <w:t>噁</w:t>
      </w:r>
      <w:r>
        <w:rPr>
          <w:rFonts w:hint="eastAsia" w:ascii="仿宋_GB2312" w:hAnsi="仿宋_GB2312" w:eastAsia="仿宋_GB2312" w:cs="仿宋_GB2312"/>
          <w:bCs/>
          <w:color w:val="000000" w:themeColor="text1"/>
          <w:sz w:val="32"/>
          <w:szCs w:val="32"/>
        </w:rPr>
        <w:t>英类参照《关于进一步加强生物质发电项目环境影响评价管理工作的通知》（环发〔</w:t>
      </w:r>
      <w:r>
        <w:rPr>
          <w:rFonts w:hint="eastAsia" w:eastAsia="仿宋_GB2312"/>
          <w:bCs/>
          <w:color w:val="000000" w:themeColor="text1"/>
          <w:sz w:val="32"/>
          <w:szCs w:val="32"/>
        </w:rPr>
        <w:t>2008〕82号）推荐的日本环境厅中央环境审议会制定的环境标准。</w:t>
      </w:r>
    </w:p>
    <w:p>
      <w:pPr>
        <w:widowControl/>
        <w:spacing w:line="560" w:lineRule="exact"/>
        <w:ind w:firstLine="640"/>
        <w:rPr>
          <w:rFonts w:eastAsia="仿宋_GB2312"/>
          <w:color w:val="000000" w:themeColor="text1"/>
          <w:sz w:val="32"/>
          <w:szCs w:val="32"/>
        </w:rPr>
      </w:pPr>
      <w:r>
        <w:rPr>
          <w:rFonts w:eastAsia="仿宋_GB2312"/>
          <w:bCs/>
          <w:color w:val="000000" w:themeColor="text1"/>
          <w:sz w:val="32"/>
          <w:szCs w:val="32"/>
        </w:rPr>
        <w:t>按规定装备自动化控制系统，所有物料设置自动封闭的上料、卸料系统。在符合安全条件下，对全厂无组织废气管控进行全面整改提升，加强储存、输送、生产等全过程封闭管控，废气均纳入有组织收集和处理，</w:t>
      </w:r>
      <w:r>
        <w:rPr>
          <w:rFonts w:hint="eastAsia" w:eastAsia="仿宋_GB2312"/>
          <w:color w:val="000000" w:themeColor="text1"/>
          <w:sz w:val="32"/>
          <w:szCs w:val="32"/>
        </w:rPr>
        <w:t>定期进行LADR检测</w:t>
      </w:r>
    </w:p>
    <w:p>
      <w:pPr>
        <w:widowControl/>
        <w:spacing w:line="560" w:lineRule="exact"/>
        <w:rPr>
          <w:rFonts w:eastAsia="仿宋_GB2312"/>
          <w:color w:val="000000" w:themeColor="text1"/>
          <w:sz w:val="32"/>
          <w:szCs w:val="32"/>
        </w:rPr>
      </w:pPr>
      <w:r>
        <w:rPr>
          <w:rFonts w:hint="eastAsia" w:eastAsia="仿宋_GB2312"/>
          <w:color w:val="000000" w:themeColor="text1"/>
          <w:sz w:val="32"/>
          <w:szCs w:val="32"/>
        </w:rPr>
        <w:t>与修复，</w:t>
      </w:r>
      <w:r>
        <w:rPr>
          <w:rFonts w:eastAsia="仿宋_GB2312"/>
          <w:bCs/>
          <w:color w:val="000000" w:themeColor="text1"/>
          <w:sz w:val="32"/>
          <w:szCs w:val="32"/>
        </w:rPr>
        <w:t>最大限度减少无组织逸散</w:t>
      </w:r>
      <w:bookmarkStart w:id="9" w:name="OLE_LINK12"/>
      <w:r>
        <w:rPr>
          <w:rFonts w:hint="eastAsia" w:eastAsia="仿宋_GB2312"/>
          <w:bCs/>
          <w:color w:val="000000" w:themeColor="text1"/>
          <w:sz w:val="32"/>
          <w:szCs w:val="32"/>
        </w:rPr>
        <w:t>。</w:t>
      </w:r>
      <w:bookmarkStart w:id="10" w:name="OLE_LINK21"/>
      <w:bookmarkStart w:id="11" w:name="OLE_LINK23"/>
      <w:bookmarkStart w:id="12" w:name="OLE_LINK22"/>
      <w:r>
        <w:rPr>
          <w:rFonts w:hint="eastAsia" w:eastAsia="仿宋_GB2312"/>
          <w:bCs/>
          <w:color w:val="000000" w:themeColor="text1"/>
          <w:sz w:val="32"/>
          <w:szCs w:val="32"/>
        </w:rPr>
        <w:t>全厂精馏残渣经封闭料箱及时转运至破碎机内破碎，破碎后精馏残渣直接由密闭管道输送至焚烧炉焚烧，精馏残渣破碎机产生的破碎粉尘由引风机通过密闭管道收集直接引至焚烧炉焚烧</w:t>
      </w:r>
      <w:bookmarkEnd w:id="10"/>
      <w:r>
        <w:rPr>
          <w:rFonts w:hint="eastAsia" w:eastAsia="仿宋_GB2312"/>
          <w:bCs/>
          <w:color w:val="000000" w:themeColor="text1"/>
          <w:sz w:val="32"/>
          <w:szCs w:val="32"/>
        </w:rPr>
        <w:t>，</w:t>
      </w:r>
      <w:bookmarkEnd w:id="11"/>
      <w:r>
        <w:rPr>
          <w:rFonts w:hint="eastAsia" w:eastAsia="仿宋_GB2312"/>
          <w:bCs/>
          <w:color w:val="000000" w:themeColor="text1"/>
          <w:sz w:val="32"/>
          <w:szCs w:val="32"/>
        </w:rPr>
        <w:t>危废</w:t>
      </w:r>
      <w:r>
        <w:rPr>
          <w:rFonts w:hint="eastAsia" w:eastAsia="仿宋_GB2312"/>
          <w:color w:val="000000" w:themeColor="text1"/>
          <w:sz w:val="32"/>
          <w:szCs w:val="32"/>
        </w:rPr>
        <w:t>焚烧炉烟气净化装置至少应具备除尘、脱硫、脱硝、脱酸、去除二</w:t>
      </w:r>
      <w:r>
        <w:rPr>
          <w:rFonts w:hint="eastAsia" w:ascii="宋体" w:hAnsi="宋体" w:cs="宋体"/>
          <w:color w:val="000000" w:themeColor="text1"/>
          <w:sz w:val="32"/>
          <w:szCs w:val="32"/>
        </w:rPr>
        <w:t>噁</w:t>
      </w:r>
      <w:r>
        <w:rPr>
          <w:rFonts w:hint="eastAsia" w:ascii="仿宋_GB2312" w:hAnsi="仿宋_GB2312" w:eastAsia="仿宋_GB2312" w:cs="仿宋_GB2312"/>
          <w:color w:val="000000" w:themeColor="text1"/>
          <w:sz w:val="32"/>
          <w:szCs w:val="32"/>
        </w:rPr>
        <w:t>英类及重金属类污染物的功能，焚烧废气采用“</w:t>
      </w:r>
      <w:r>
        <w:rPr>
          <w:rFonts w:hint="eastAsia" w:eastAsia="仿宋_GB2312"/>
          <w:color w:val="000000" w:themeColor="text1"/>
          <w:sz w:val="32"/>
          <w:szCs w:val="32"/>
        </w:rPr>
        <w:t>SNCR脱硝+急冷脱酸塔+活性炭喷射+布袋除尘器+喷淋洗涤塔处理”处理后，通过不低于35m高排气筒排放；全厂精馏工序产生的精馏不凝气、离心淋洗工序产生的离心废气和醋酸提浓工序产生的提浓不凝气经管道密闭收集后经一套RTO装置焚烧处理后通过不低于15m高排气筒排放；扩建工程氧化工序产生的氧化尾气经密闭管道收集后经“四级水喷淋+二级碱喷淋”处理后通过不低于15m高排气筒排放；全厂</w:t>
      </w:r>
      <w:r>
        <w:rPr>
          <w:rFonts w:hint="eastAsia" w:eastAsia="仿宋_GB2312"/>
          <w:color w:val="000000" w:themeColor="text1"/>
          <w:sz w:val="32"/>
          <w:szCs w:val="32"/>
          <w:lang w:val="zh-CN"/>
        </w:rPr>
        <w:t>偏苯三酸酐</w:t>
      </w:r>
      <w:r>
        <w:rPr>
          <w:rFonts w:hint="eastAsia" w:eastAsia="仿宋_GB2312"/>
          <w:color w:val="000000" w:themeColor="text1"/>
          <w:sz w:val="32"/>
          <w:szCs w:val="32"/>
        </w:rPr>
        <w:t>结片粉尘经密闭管道收集后经布袋除尘器处理，</w:t>
      </w:r>
      <w:r>
        <w:rPr>
          <w:rFonts w:hint="eastAsia" w:eastAsia="仿宋_GB2312"/>
          <w:color w:val="000000" w:themeColor="text1"/>
          <w:sz w:val="32"/>
          <w:szCs w:val="32"/>
          <w:lang w:val="zh-CN"/>
        </w:rPr>
        <w:t>均苯三甲酸</w:t>
      </w:r>
      <w:r>
        <w:rPr>
          <w:rFonts w:hint="eastAsia" w:eastAsia="仿宋_GB2312"/>
          <w:color w:val="000000" w:themeColor="text1"/>
          <w:sz w:val="32"/>
          <w:szCs w:val="32"/>
        </w:rPr>
        <w:t>干燥尾气经设备自带布袋除尘器处理，包装粉尘经封闭式集气罩收集</w:t>
      </w:r>
      <w:bookmarkStart w:id="13" w:name="OLE_LINK7"/>
      <w:r>
        <w:rPr>
          <w:rFonts w:hint="eastAsia" w:eastAsia="仿宋_GB2312"/>
          <w:color w:val="000000" w:themeColor="text1"/>
          <w:sz w:val="32"/>
          <w:szCs w:val="32"/>
        </w:rPr>
        <w:t>后经布袋除尘器处理，</w:t>
      </w:r>
      <w:bookmarkEnd w:id="13"/>
      <w:bookmarkStart w:id="14" w:name="OLE_LINK8"/>
      <w:r>
        <w:rPr>
          <w:rFonts w:hint="eastAsia" w:eastAsia="仿宋_GB2312"/>
          <w:color w:val="000000" w:themeColor="text1"/>
          <w:sz w:val="32"/>
          <w:szCs w:val="32"/>
        </w:rPr>
        <w:t>精馏残渣结片粉尘经密闭管道收集后经过袋式除尘器处理，</w:t>
      </w:r>
      <w:bookmarkStart w:id="15" w:name="OLE_LINK11"/>
      <w:r>
        <w:rPr>
          <w:rFonts w:hint="eastAsia" w:eastAsia="仿宋_GB2312"/>
          <w:color w:val="000000" w:themeColor="text1"/>
          <w:sz w:val="32"/>
          <w:szCs w:val="32"/>
        </w:rPr>
        <w:t>活性炭投料</w:t>
      </w:r>
      <w:bookmarkEnd w:id="15"/>
      <w:r>
        <w:rPr>
          <w:rFonts w:hint="eastAsia" w:eastAsia="仿宋_GB2312"/>
          <w:color w:val="000000" w:themeColor="text1"/>
          <w:sz w:val="32"/>
          <w:szCs w:val="32"/>
        </w:rPr>
        <w:t>粉尘通过自动投料机袋式除尘装置处理，</w:t>
      </w:r>
      <w:bookmarkEnd w:id="14"/>
      <w:r>
        <w:rPr>
          <w:rFonts w:hint="eastAsia" w:eastAsia="仿宋_GB2312"/>
          <w:color w:val="000000" w:themeColor="text1"/>
          <w:sz w:val="32"/>
          <w:szCs w:val="32"/>
        </w:rPr>
        <w:t>以上废气一并通过不低于15米高排气筒排放；储罐废气经管道收集后经一套两级活性吸附装置处理后排放；</w:t>
      </w:r>
      <w:bookmarkStart w:id="16" w:name="OLE_LINK25"/>
      <w:r>
        <w:rPr>
          <w:rFonts w:hint="eastAsia" w:eastAsia="仿宋_GB2312"/>
          <w:color w:val="000000" w:themeColor="text1"/>
          <w:sz w:val="32"/>
          <w:szCs w:val="32"/>
        </w:rPr>
        <w:t>危废暂存间废气经密闭负压收集后经一套两级活性炭吸附装置处理后通过不低于15m高排气筒排放；</w:t>
      </w:r>
      <w:bookmarkEnd w:id="16"/>
      <w:r>
        <w:rPr>
          <w:rFonts w:hint="eastAsia" w:eastAsia="仿宋_GB2312"/>
          <w:color w:val="000000" w:themeColor="text1"/>
          <w:sz w:val="32"/>
          <w:szCs w:val="32"/>
        </w:rPr>
        <w:t>污水处理</w:t>
      </w:r>
      <w:bookmarkStart w:id="17" w:name="OLE_LINK9"/>
      <w:r>
        <w:rPr>
          <w:rFonts w:hint="eastAsia" w:eastAsia="仿宋_GB2312"/>
          <w:color w:val="000000" w:themeColor="text1"/>
          <w:sz w:val="32"/>
          <w:szCs w:val="32"/>
        </w:rPr>
        <w:t>站加盖封闭，厌氧塔沼气、好氧池废气经封闭管道收集后引入锅炉系统焚烧处理后</w:t>
      </w:r>
      <w:bookmarkEnd w:id="17"/>
      <w:r>
        <w:rPr>
          <w:rFonts w:hint="eastAsia" w:eastAsia="仿宋_GB2312"/>
          <w:color w:val="000000" w:themeColor="text1"/>
          <w:sz w:val="32"/>
          <w:szCs w:val="32"/>
        </w:rPr>
        <w:t>通过不低于45m高排气筒排放；本项目不得新增煤炭用量，对厂区现有燃煤导热油炉进行超低排放改造，改造后烟气采用“SNCR-SCR联合脱硝装置+碱法脱硫装置+高效布袋除尘装置”处理后通过不低于45m高排气筒排放；煤渣场、堆煤场按规定做好密闭，防治扬尘污染。</w:t>
      </w:r>
    </w:p>
    <w:bookmarkEnd w:id="9"/>
    <w:bookmarkEnd w:id="12"/>
    <w:p>
      <w:pPr>
        <w:widowControl/>
        <w:spacing w:line="560" w:lineRule="exact"/>
        <w:ind w:firstLine="640"/>
        <w:rPr>
          <w:rFonts w:eastAsia="仿宋_GB2312"/>
          <w:color w:val="000000" w:themeColor="text1"/>
          <w:sz w:val="32"/>
          <w:szCs w:val="32"/>
        </w:rPr>
      </w:pPr>
      <w:r>
        <w:rPr>
          <w:rFonts w:hint="eastAsia" w:eastAsia="仿宋_GB2312"/>
          <w:color w:val="000000" w:themeColor="text1"/>
          <w:sz w:val="32"/>
          <w:szCs w:val="32"/>
        </w:rPr>
        <w:t>应当确保全厂区所有废气有效、精准收集，危废焚烧炉、RTO、锅炉及其配套的废气治理措施稳定运行，活性炭定期更换，确保废气稳定达标排放。危废焚烧炉运行应满足</w:t>
      </w:r>
      <w:bookmarkStart w:id="18" w:name="OLE_LINK13"/>
      <w:r>
        <w:rPr>
          <w:rFonts w:hint="eastAsia" w:eastAsia="仿宋_GB2312"/>
          <w:color w:val="000000" w:themeColor="text1"/>
          <w:sz w:val="32"/>
          <w:szCs w:val="32"/>
        </w:rPr>
        <w:t>《危险废物焚烧污染控制标准》</w:t>
      </w:r>
      <w:bookmarkEnd w:id="18"/>
      <w:r>
        <w:rPr>
          <w:rFonts w:hint="eastAsia" w:eastAsia="仿宋_GB2312"/>
          <w:color w:val="000000" w:themeColor="text1"/>
          <w:sz w:val="32"/>
          <w:szCs w:val="32"/>
        </w:rPr>
        <w:t>（GB18484-2020）要求，技术性能指标应符合表1中的(高温段温度≥1100℃，烟气停留时间≥2秒, 烟气含氧量6-15%，烟气一氧化碳浓度小时均值≤100 mg/m3、日均值≤80mg/m3，燃烧效率≥99.9%，焚毁去除率≥99.99%，热灼减率＜5%）要求, 危废焚烧炉烟气颗粒物、一氧化碳、二氧化硫、氮氧化物、砷及其化合物、汞及其化合物、镉及其化合物、铬及其化合物、铅及其化合物、铊及其化合物、锡、锑、铜、锰、镍、钴及其化合物、二</w:t>
      </w:r>
      <w:r>
        <w:rPr>
          <w:rFonts w:hint="eastAsia" w:ascii="宋体" w:hAnsi="宋体" w:cs="宋体"/>
          <w:color w:val="000000" w:themeColor="text1"/>
          <w:sz w:val="32"/>
          <w:szCs w:val="32"/>
        </w:rPr>
        <w:t>噁</w:t>
      </w:r>
      <w:r>
        <w:rPr>
          <w:rFonts w:hint="eastAsia" w:ascii="仿宋_GB2312" w:hAnsi="仿宋_GB2312" w:eastAsia="仿宋_GB2312" w:cs="仿宋_GB2312"/>
          <w:color w:val="000000" w:themeColor="text1"/>
          <w:sz w:val="32"/>
          <w:szCs w:val="32"/>
        </w:rPr>
        <w:t>英类等执行《危险废物焚烧污染控制标准》（</w:t>
      </w:r>
      <w:r>
        <w:rPr>
          <w:rFonts w:hint="eastAsia" w:eastAsia="仿宋_GB2312"/>
          <w:color w:val="000000" w:themeColor="text1"/>
          <w:sz w:val="32"/>
          <w:szCs w:val="32"/>
        </w:rPr>
        <w:t>GB18484-2020）表3中标准限值。生产产生的颗粒物、二氧化硫、氮氧化物、二甲苯等污染物有组织排放应达到《石油化学工业污染物排放标准》（GB31571-2015）及其修改单中标5、表6中限值</w:t>
      </w:r>
      <w:bookmarkStart w:id="19" w:name="OLE_LINK14"/>
      <w:r>
        <w:rPr>
          <w:rFonts w:hint="eastAsia" w:eastAsia="仿宋_GB2312"/>
          <w:color w:val="000000" w:themeColor="text1"/>
          <w:sz w:val="32"/>
          <w:szCs w:val="32"/>
        </w:rPr>
        <w:t>及管控要求</w:t>
      </w:r>
      <w:bookmarkEnd w:id="19"/>
      <w:r>
        <w:rPr>
          <w:rFonts w:hint="eastAsia" w:eastAsia="仿宋_GB2312"/>
          <w:color w:val="000000" w:themeColor="text1"/>
          <w:sz w:val="32"/>
          <w:szCs w:val="32"/>
        </w:rPr>
        <w:t>，且非甲烷总烃去除效率≥97%，非污水处理装置产生的非甲烷总烃应达到《</w:t>
      </w:r>
      <w:bookmarkStart w:id="20" w:name="OLE_LINK16"/>
      <w:r>
        <w:rPr>
          <w:rFonts w:hint="eastAsia" w:eastAsia="仿宋_GB2312"/>
          <w:color w:val="000000" w:themeColor="text1"/>
          <w:sz w:val="32"/>
          <w:szCs w:val="32"/>
        </w:rPr>
        <w:t>大气污染物综合排放标准》</w:t>
      </w:r>
      <w:bookmarkEnd w:id="20"/>
      <w:r>
        <w:rPr>
          <w:rFonts w:hint="eastAsia" w:eastAsia="仿宋_GB2312"/>
          <w:color w:val="000000" w:themeColor="text1"/>
          <w:sz w:val="32"/>
          <w:szCs w:val="32"/>
        </w:rPr>
        <w:t>（GB16297-1996）限值要求，颗粒物、非甲烷总烃、二甲苯等污染物无组织排放应达到《石油化学工业污染物排放标准》（GB31571-2015）及其修改单中表7中限值及管控要求。燃煤导热油炉燃烧废气中颗粒物、二氧化硫、氮氧化物排放应达到超低排放限值要求（颗粒物10毫克/立方米、二氧化硫35毫克/立方米、氮氧化物50毫克/立方米），汞及其化合物、烟气黑度执行《锅炉大气污染物排放标准》（GB13271-2014）表3中特别排放限值，锅炉烟气中的非甲烷总烃排放执行《石油化学工业污染物排放标准》（GB31571-2015）及其修改单中的表5中的限值要求</w:t>
      </w:r>
      <w:bookmarkStart w:id="21" w:name="OLE_LINK15"/>
      <w:r>
        <w:rPr>
          <w:rFonts w:hint="eastAsia" w:eastAsia="仿宋_GB2312"/>
          <w:color w:val="000000" w:themeColor="text1"/>
          <w:sz w:val="32"/>
          <w:szCs w:val="32"/>
        </w:rPr>
        <w:t>，氨气、硫化氢、臭气浓度应达到《恶臭污染物排放标准》(GB14554-93)表1中新扩改建二级标准和表2标准</w:t>
      </w:r>
      <w:bookmarkEnd w:id="21"/>
      <w:r>
        <w:rPr>
          <w:rFonts w:hint="eastAsia" w:eastAsia="仿宋_GB2312"/>
          <w:color w:val="000000" w:themeColor="text1"/>
          <w:sz w:val="32"/>
          <w:szCs w:val="32"/>
        </w:rPr>
        <w:t>。有机废气无组织排放应达到《挥发性有机物无组织排放控制标准》（GB37822-2019）附录A表A.1中无组织排放监控浓度特别排放限值和收集处理系统要求、监控要求及各项控制要求。废气按要求建设规范化排污口，依法依规安装并联网自动监测设施，危废焚烧炉在线监测污染物为氯化氢、二氧化硫、氮氧化物、颗粒物、一氧化碳和烟气含氧量，</w:t>
      </w:r>
      <w:bookmarkStart w:id="22" w:name="OLE_LINK17"/>
      <w:r>
        <w:rPr>
          <w:rFonts w:hint="eastAsia" w:eastAsia="仿宋_GB2312"/>
          <w:color w:val="000000" w:themeColor="text1"/>
          <w:sz w:val="32"/>
          <w:szCs w:val="32"/>
        </w:rPr>
        <w:t>燃煤锅炉在线监测污染物</w:t>
      </w:r>
      <w:bookmarkEnd w:id="22"/>
      <w:r>
        <w:rPr>
          <w:rFonts w:hint="eastAsia" w:eastAsia="仿宋_GB2312"/>
          <w:color w:val="000000" w:themeColor="text1"/>
          <w:sz w:val="32"/>
          <w:szCs w:val="32"/>
        </w:rPr>
        <w:t>为颗粒物、二氧化硫、氮氧化物。</w:t>
      </w:r>
    </w:p>
    <w:p>
      <w:pPr>
        <w:widowControl/>
        <w:spacing w:line="560" w:lineRule="exact"/>
        <w:ind w:firstLine="640"/>
        <w:rPr>
          <w:rFonts w:eastAsia="仿宋_GB2312"/>
          <w:color w:val="000000" w:themeColor="text1"/>
          <w:sz w:val="32"/>
          <w:szCs w:val="32"/>
        </w:rPr>
      </w:pPr>
      <w:r>
        <w:rPr>
          <w:rFonts w:hint="eastAsia" w:eastAsia="仿宋_GB2312"/>
          <w:color w:val="000000" w:themeColor="text1"/>
          <w:sz w:val="32"/>
          <w:szCs w:val="32"/>
        </w:rPr>
        <w:t>厂界外200m为企业环境防护距离。该环境防护距离范围内不得有</w:t>
      </w:r>
      <w:r>
        <w:rPr>
          <w:rFonts w:hint="eastAsia" w:eastAsia="仿宋_GB2312"/>
          <w:color w:val="000000" w:themeColor="text1"/>
          <w:sz w:val="32"/>
          <w:szCs w:val="32"/>
          <w:lang w:val="zh-CN"/>
        </w:rPr>
        <w:t>医院、学校、居民住宅等环境敏感建筑物。</w:t>
      </w:r>
    </w:p>
    <w:p>
      <w:pPr>
        <w:widowControl/>
        <w:snapToGrid w:val="0"/>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4、</w:t>
      </w:r>
      <w:r>
        <w:rPr>
          <w:rFonts w:eastAsia="仿宋_GB2312"/>
          <w:color w:val="000000" w:themeColor="text1"/>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w:t>
      </w:r>
      <w:r>
        <w:rPr>
          <w:rFonts w:hint="eastAsia" w:eastAsia="仿宋_GB2312"/>
          <w:color w:val="000000" w:themeColor="text1"/>
          <w:sz w:val="32"/>
          <w:szCs w:val="32"/>
        </w:rPr>
        <w:t>精馏残渣及其破碎过程中收集的粉尘进入焚烧车间1.5t/h危废焚烧炉焚烧处置；对</w:t>
      </w:r>
      <w:bookmarkStart w:id="23" w:name="OLE_LINK19"/>
      <w:r>
        <w:rPr>
          <w:rFonts w:hint="eastAsia" w:eastAsia="仿宋_GB2312"/>
          <w:color w:val="000000" w:themeColor="text1"/>
          <w:sz w:val="32"/>
          <w:szCs w:val="32"/>
        </w:rPr>
        <w:t>焚烧炉残渣、焚烧炉烟气处理收集的飞灰和喷淋系统底泥（干燥）</w:t>
      </w:r>
      <w:bookmarkEnd w:id="23"/>
      <w:r>
        <w:rPr>
          <w:rFonts w:hint="eastAsia" w:eastAsia="仿宋_GB2312"/>
          <w:color w:val="000000" w:themeColor="text1"/>
          <w:sz w:val="32"/>
          <w:szCs w:val="32"/>
        </w:rPr>
        <w:t>、废催化剂包装内袋、废化学品包装桶、废脱硝催化剂、废矿物油、机油包装桶、污水处理污泥、实验室废液、废活性炭、废劳保用品等危险废物</w:t>
      </w:r>
      <w:r>
        <w:rPr>
          <w:rFonts w:eastAsia="仿宋_GB2312"/>
          <w:color w:val="000000" w:themeColor="text1"/>
          <w:sz w:val="32"/>
          <w:szCs w:val="32"/>
        </w:rPr>
        <w:t>必须按照《中华人民共和国固体废物污染环境防治法》中的特别规定和《危险废物贮存污染控制标准》（GB18597-2023）的要求，</w:t>
      </w:r>
      <w:r>
        <w:rPr>
          <w:rFonts w:hint="eastAsia" w:eastAsia="仿宋_GB2312"/>
          <w:color w:val="000000" w:themeColor="text1"/>
          <w:sz w:val="32"/>
          <w:szCs w:val="32"/>
        </w:rPr>
        <w:t>做好收集、储存、运输、处置、记录等工作，</w:t>
      </w:r>
      <w:r>
        <w:rPr>
          <w:rFonts w:eastAsia="仿宋_GB2312"/>
          <w:color w:val="000000" w:themeColor="text1"/>
          <w:sz w:val="32"/>
          <w:szCs w:val="32"/>
        </w:rPr>
        <w:t>不得随意处置；</w:t>
      </w:r>
      <w:r>
        <w:rPr>
          <w:rFonts w:hint="eastAsia" w:eastAsia="仿宋_GB2312"/>
          <w:color w:val="000000" w:themeColor="text1"/>
          <w:sz w:val="32"/>
          <w:szCs w:val="32"/>
        </w:rPr>
        <w:t>废矿物油由厂家回收生产原物质，</w:t>
      </w:r>
      <w:r>
        <w:rPr>
          <w:rFonts w:hint="eastAsia" w:eastAsia="仿宋_GB2312"/>
          <w:color w:val="000000" w:themeColor="text1"/>
          <w:sz w:val="32"/>
          <w:szCs w:val="32"/>
          <w:lang w:val="zh-CN"/>
        </w:rPr>
        <w:t>污水处理用碳源乙酸钠</w:t>
      </w:r>
      <w:bookmarkStart w:id="24" w:name="OLE_LINK20"/>
      <w:r>
        <w:rPr>
          <w:rFonts w:hint="eastAsia" w:eastAsia="仿宋_GB2312"/>
          <w:color w:val="000000" w:themeColor="text1"/>
          <w:sz w:val="32"/>
          <w:szCs w:val="32"/>
          <w:lang w:val="zh-CN"/>
        </w:rPr>
        <w:t>符合《生化法处理污（废）水用碳源乙酸钠》</w:t>
      </w:r>
      <w:bookmarkEnd w:id="24"/>
      <w:r>
        <w:rPr>
          <w:rFonts w:hint="eastAsia" w:eastAsia="仿宋_GB2312"/>
          <w:color w:val="000000" w:themeColor="text1"/>
          <w:sz w:val="32"/>
          <w:szCs w:val="32"/>
          <w:lang w:val="zh-CN"/>
        </w:rPr>
        <w:t>（HG/T5959-2021）要求，且</w:t>
      </w:r>
      <w:r>
        <w:rPr>
          <w:rFonts w:hint="eastAsia" w:eastAsia="仿宋_GB2312"/>
          <w:color w:val="000000" w:themeColor="text1"/>
          <w:sz w:val="32"/>
          <w:szCs w:val="32"/>
        </w:rPr>
        <w:t>满足《固体废物鉴别标准 通则》5.2款规定的，按照副产品管理，不符合以上要求的，按照固体废物规范管理。危废焚烧炉残渣、焚烧炉烟气处理收集的飞灰和喷淋系统底泥（干燥）按照危险废物规范管理和处置，可以</w:t>
      </w:r>
      <w:r>
        <w:rPr>
          <w:rFonts w:hint="eastAsia" w:ascii="仿宋_GB2312" w:hAnsi="仿宋_GB2312" w:eastAsia="仿宋_GB2312" w:cs="仿宋_GB2312"/>
          <w:color w:val="000000" w:themeColor="text1"/>
          <w:sz w:val="32"/>
          <w:szCs w:val="32"/>
        </w:rPr>
        <w:t>按照《国家危险废物名录》（2021年版）规定，在环境风险可控的前提下，根据省级生态环境部门确定的方案，实行危险废物“点对点”定向利用。</w:t>
      </w:r>
      <w:r>
        <w:rPr>
          <w:rFonts w:eastAsia="仿宋_GB2312"/>
          <w:color w:val="000000" w:themeColor="text1"/>
          <w:sz w:val="32"/>
          <w:szCs w:val="32"/>
        </w:rPr>
        <w:t>应制定危险废物管理计划，并将管理计划及危险废物管理有关资料向环境保护行政主管部门申报、备案。</w:t>
      </w:r>
    </w:p>
    <w:p>
      <w:pPr>
        <w:widowControl/>
        <w:snapToGrid w:val="0"/>
        <w:spacing w:line="560" w:lineRule="exact"/>
        <w:ind w:firstLine="640" w:firstLineChars="200"/>
        <w:rPr>
          <w:rFonts w:eastAsia="仿宋_GB2312"/>
          <w:color w:val="000000" w:themeColor="text1"/>
          <w:sz w:val="32"/>
          <w:szCs w:val="32"/>
        </w:rPr>
      </w:pPr>
      <w:r>
        <w:rPr>
          <w:rFonts w:hint="default" w:eastAsia="仿宋_GB2312"/>
          <w:color w:val="000000" w:themeColor="text1"/>
          <w:sz w:val="32"/>
          <w:szCs w:val="32"/>
          <w:lang w:val="en"/>
        </w:rPr>
        <w:t>5</w:t>
      </w:r>
      <w:r>
        <w:rPr>
          <w:rFonts w:hint="eastAsia" w:eastAsia="仿宋_GB2312"/>
          <w:color w:val="000000" w:themeColor="text1"/>
          <w:sz w:val="32"/>
          <w:szCs w:val="32"/>
        </w:rPr>
        <w:t>、</w:t>
      </w:r>
      <w:r>
        <w:rPr>
          <w:rFonts w:eastAsia="仿宋_GB2312"/>
          <w:color w:val="000000" w:themeColor="text1"/>
          <w:sz w:val="32"/>
          <w:szCs w:val="32"/>
        </w:rPr>
        <w:t>做好地下水、土壤污染防治工作。落实《报告书》中分区防渗重点污染防治区防渗措施和其它区域的一般防渗措施，对监测井进行维护，定期对地下水水质监测，确保地下水环境质量达到《地下水质量标准》（GB/T 14848-2017）中的</w:t>
      </w:r>
      <w:r>
        <w:rPr>
          <w:rFonts w:hint="eastAsia" w:ascii="宋体" w:hAnsi="宋体" w:cs="宋体"/>
          <w:color w:val="000000" w:themeColor="text1"/>
          <w:sz w:val="32"/>
          <w:szCs w:val="32"/>
        </w:rPr>
        <w:t>Ⅲ</w:t>
      </w:r>
      <w:r>
        <w:rPr>
          <w:rFonts w:eastAsia="仿宋_GB2312"/>
          <w:color w:val="000000" w:themeColor="text1"/>
          <w:sz w:val="32"/>
          <w:szCs w:val="32"/>
        </w:rPr>
        <w:t>类标准，建设用地</w:t>
      </w:r>
      <w:r>
        <w:rPr>
          <w:rFonts w:hint="eastAsia" w:eastAsia="仿宋_GB2312"/>
          <w:color w:val="000000" w:themeColor="text1"/>
          <w:sz w:val="32"/>
          <w:szCs w:val="32"/>
        </w:rPr>
        <w:t>土壤满足</w:t>
      </w:r>
      <w:r>
        <w:rPr>
          <w:rFonts w:eastAsia="仿宋_GB2312"/>
          <w:color w:val="000000" w:themeColor="text1"/>
          <w:sz w:val="32"/>
          <w:szCs w:val="32"/>
        </w:rPr>
        <w:t>《土壤环境质量 建设用地土壤污染风险管控标准（试行）》（GB 36600-2018）表1中第二类用地筛选值标准，防止地下水、土壤受到污染，确保项目区域的地下水、土壤环境质量不降低。</w:t>
      </w:r>
    </w:p>
    <w:p>
      <w:pPr>
        <w:spacing w:line="560" w:lineRule="exact"/>
        <w:ind w:firstLine="640" w:firstLineChars="200"/>
        <w:rPr>
          <w:rFonts w:eastAsia="仿宋_GB2312"/>
          <w:color w:val="000000" w:themeColor="text1"/>
          <w:sz w:val="32"/>
          <w:szCs w:val="32"/>
        </w:rPr>
      </w:pPr>
      <w:r>
        <w:rPr>
          <w:rFonts w:hint="default" w:eastAsia="仿宋_GB2312"/>
          <w:color w:val="000000" w:themeColor="text1"/>
          <w:sz w:val="32"/>
          <w:szCs w:val="32"/>
          <w:lang w:val="en"/>
        </w:rPr>
        <w:t>6</w:t>
      </w:r>
      <w:r>
        <w:rPr>
          <w:rFonts w:hint="eastAsia" w:eastAsia="仿宋_GB2312"/>
          <w:color w:val="000000" w:themeColor="text1"/>
          <w:sz w:val="32"/>
          <w:szCs w:val="32"/>
        </w:rPr>
        <w:t>、</w:t>
      </w:r>
      <w:r>
        <w:rPr>
          <w:rFonts w:eastAsia="仿宋_GB2312"/>
          <w:color w:val="000000" w:themeColor="text1"/>
          <w:sz w:val="32"/>
          <w:szCs w:val="32"/>
        </w:rPr>
        <w:t>落实噪声污染防治措施。</w:t>
      </w:r>
      <w:r>
        <w:rPr>
          <w:rFonts w:hint="eastAsia" w:eastAsia="仿宋_GB2312"/>
          <w:color w:val="000000" w:themeColor="text1"/>
          <w:sz w:val="32"/>
          <w:szCs w:val="32"/>
        </w:rPr>
        <w:t>优先选用低噪声设备，对各类噪声源采取必要的隔声、减震、消声、降噪措施，确保项目生产过程中厂界噪声符合《工业企业厂界环境噪声排放标准》（GB12348-2008）中3类标准。</w:t>
      </w:r>
    </w:p>
    <w:p>
      <w:pPr>
        <w:widowControl/>
        <w:snapToGrid w:val="0"/>
        <w:spacing w:line="560" w:lineRule="exact"/>
        <w:ind w:firstLine="640" w:firstLineChars="200"/>
        <w:rPr>
          <w:rFonts w:eastAsia="仿宋_GB2312"/>
          <w:color w:val="000000" w:themeColor="text1"/>
          <w:sz w:val="32"/>
          <w:szCs w:val="32"/>
        </w:rPr>
      </w:pPr>
      <w:r>
        <w:rPr>
          <w:rFonts w:hint="default" w:eastAsia="仿宋_GB2312"/>
          <w:color w:val="000000" w:themeColor="text1"/>
          <w:sz w:val="32"/>
          <w:szCs w:val="32"/>
          <w:lang w:val="en"/>
        </w:rPr>
        <w:t>7</w:t>
      </w:r>
      <w:r>
        <w:rPr>
          <w:rFonts w:hint="eastAsia" w:eastAsia="仿宋_GB2312"/>
          <w:color w:val="000000" w:themeColor="text1"/>
          <w:sz w:val="32"/>
          <w:szCs w:val="32"/>
        </w:rPr>
        <w:t>、</w:t>
      </w:r>
      <w:r>
        <w:rPr>
          <w:rFonts w:eastAsia="仿宋_GB2312"/>
          <w:color w:val="000000" w:themeColor="text1"/>
          <w:sz w:val="32"/>
          <w:szCs w:val="32"/>
        </w:rPr>
        <w:t>做好项目的环境风险防范工作。建立环境风险应急管理体系，根据项目的建设内容</w:t>
      </w:r>
      <w:r>
        <w:rPr>
          <w:rFonts w:hint="eastAsia" w:eastAsia="仿宋_GB2312"/>
          <w:color w:val="000000" w:themeColor="text1"/>
          <w:sz w:val="32"/>
          <w:szCs w:val="32"/>
        </w:rPr>
        <w:t>修编</w:t>
      </w:r>
      <w:r>
        <w:rPr>
          <w:rFonts w:eastAsia="仿宋_GB2312"/>
          <w:color w:val="000000" w:themeColor="text1"/>
          <w:sz w:val="32"/>
          <w:szCs w:val="32"/>
        </w:rPr>
        <w:t>突发环境事件应急预案，保证防范环境风险的配套设施的落实，确保在应急状态下，废水能自流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pPr>
        <w:widowControl/>
        <w:snapToGrid w:val="0"/>
        <w:spacing w:line="560" w:lineRule="exact"/>
        <w:ind w:firstLine="640" w:firstLineChars="200"/>
        <w:rPr>
          <w:rFonts w:eastAsia="仿宋_GB2312"/>
          <w:color w:val="000000" w:themeColor="text1"/>
          <w:sz w:val="32"/>
          <w:szCs w:val="32"/>
        </w:rPr>
      </w:pPr>
      <w:r>
        <w:rPr>
          <w:rFonts w:hint="default" w:eastAsia="仿宋_GB2312"/>
          <w:color w:val="000000" w:themeColor="text1"/>
          <w:sz w:val="32"/>
          <w:szCs w:val="32"/>
          <w:lang w:val="en"/>
        </w:rPr>
        <w:t>8</w:t>
      </w:r>
      <w:r>
        <w:rPr>
          <w:rFonts w:hint="eastAsia" w:eastAsia="仿宋_GB2312"/>
          <w:color w:val="000000" w:themeColor="text1"/>
          <w:sz w:val="32"/>
          <w:szCs w:val="32"/>
        </w:rPr>
        <w:t>、</w:t>
      </w:r>
      <w:r>
        <w:rPr>
          <w:rFonts w:eastAsia="仿宋_GB2312"/>
          <w:color w:val="000000" w:themeColor="text1"/>
          <w:sz w:val="32"/>
          <w:szCs w:val="32"/>
        </w:rPr>
        <w:t>建立健全环境管理规章制度，设立环境管理机构，确定专人负责环保工作。制定环境监测计划，定期开展环境监测。加强对污染治理设施的管理和维护，确保污染治理设施正常运行，污染物稳定达标排放。</w:t>
      </w:r>
    </w:p>
    <w:p>
      <w:pPr>
        <w:widowControl/>
        <w:snapToGrid w:val="0"/>
        <w:spacing w:line="560" w:lineRule="exact"/>
        <w:ind w:firstLine="640" w:firstLineChars="200"/>
        <w:rPr>
          <w:rFonts w:eastAsia="仿宋_GB2312"/>
          <w:color w:val="000000" w:themeColor="text1"/>
          <w:sz w:val="32"/>
          <w:szCs w:val="32"/>
        </w:rPr>
      </w:pPr>
      <w:r>
        <w:rPr>
          <w:rFonts w:hint="default" w:eastAsia="仿宋_GB2312"/>
          <w:color w:val="000000" w:themeColor="text1"/>
          <w:sz w:val="32"/>
          <w:szCs w:val="32"/>
          <w:lang w:val="en"/>
        </w:rPr>
        <w:t>9</w:t>
      </w:r>
      <w:r>
        <w:rPr>
          <w:rFonts w:hint="eastAsia" w:eastAsia="仿宋_GB2312"/>
          <w:color w:val="000000" w:themeColor="text1"/>
          <w:sz w:val="32"/>
          <w:szCs w:val="32"/>
        </w:rPr>
        <w:t>、</w:t>
      </w:r>
      <w:r>
        <w:rPr>
          <w:rFonts w:eastAsia="仿宋_GB2312"/>
          <w:color w:val="000000" w:themeColor="text1"/>
          <w:sz w:val="32"/>
          <w:szCs w:val="32"/>
        </w:rPr>
        <w:t>施工期应按《报告书》要求及相关规定落实废气、废水、噪声等污染防治措施，做好固体废物管理，确保施工期污染物达标排放。</w:t>
      </w:r>
    </w:p>
    <w:p>
      <w:pPr>
        <w:widowControl/>
        <w:snapToGrid w:val="0"/>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三</w:t>
      </w:r>
      <w:r>
        <w:rPr>
          <w:rFonts w:eastAsia="仿宋_GB2312"/>
          <w:color w:val="000000" w:themeColor="text1"/>
          <w:sz w:val="32"/>
          <w:szCs w:val="32"/>
        </w:rPr>
        <w:t>、项目应采用先进适用的工艺技术和装备，单位产品物耗、能耗、水耗</w:t>
      </w:r>
      <w:r>
        <w:rPr>
          <w:rFonts w:hint="eastAsia" w:eastAsia="仿宋_GB2312"/>
          <w:color w:val="000000" w:themeColor="text1"/>
          <w:sz w:val="32"/>
          <w:szCs w:val="32"/>
        </w:rPr>
        <w:t>、污染物排放量、资源综合利用</w:t>
      </w:r>
      <w:r>
        <w:rPr>
          <w:rFonts w:eastAsia="仿宋_GB2312"/>
          <w:color w:val="000000" w:themeColor="text1"/>
          <w:sz w:val="32"/>
          <w:szCs w:val="32"/>
        </w:rPr>
        <w:t>等</w:t>
      </w:r>
      <w:r>
        <w:rPr>
          <w:rFonts w:hint="eastAsia" w:eastAsia="仿宋_GB2312"/>
          <w:color w:val="000000" w:themeColor="text1"/>
          <w:sz w:val="32"/>
          <w:szCs w:val="32"/>
        </w:rPr>
        <w:t>应</w:t>
      </w:r>
      <w:r>
        <w:rPr>
          <w:rFonts w:eastAsia="仿宋_GB2312"/>
          <w:color w:val="000000" w:themeColor="text1"/>
          <w:sz w:val="32"/>
          <w:szCs w:val="32"/>
        </w:rPr>
        <w:t>达到</w:t>
      </w:r>
      <w:r>
        <w:rPr>
          <w:rFonts w:hint="eastAsia" w:eastAsia="仿宋_GB2312"/>
          <w:color w:val="000000" w:themeColor="text1"/>
          <w:sz w:val="32"/>
          <w:szCs w:val="32"/>
        </w:rPr>
        <w:t>行业</w:t>
      </w:r>
      <w:r>
        <w:rPr>
          <w:rFonts w:eastAsia="仿宋_GB2312"/>
          <w:color w:val="000000" w:themeColor="text1"/>
          <w:sz w:val="32"/>
          <w:szCs w:val="32"/>
        </w:rPr>
        <w:t>先进水平，减少碳和污染物排放。</w:t>
      </w:r>
    </w:p>
    <w:p>
      <w:pPr>
        <w:widowControl/>
        <w:snapToGrid w:val="0"/>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四</w:t>
      </w:r>
      <w:r>
        <w:rPr>
          <w:rFonts w:eastAsia="仿宋_GB2312"/>
          <w:color w:val="000000" w:themeColor="text1"/>
          <w:sz w:val="32"/>
          <w:szCs w:val="32"/>
        </w:rPr>
        <w:t>、应当严格执行安全生产各项规定，建立健全安全生产管理制度，</w:t>
      </w:r>
      <w:r>
        <w:rPr>
          <w:rFonts w:hint="eastAsia" w:eastAsia="仿宋_GB2312"/>
          <w:color w:val="000000" w:themeColor="text1"/>
          <w:sz w:val="32"/>
          <w:szCs w:val="32"/>
        </w:rPr>
        <w:t>将环保设备设施安全作为企业安全管理的重要组成部分，加强环保设备设施相关岗位人员安全培训。严格落实涉环保设备设施新、改、扩建项目环保和安全“三同时”有关要求，委托有资质的设计单位进行正规设计。对污水处理、蓄热式焚烧炉、粉尘治理设施、脱硫脱硝设施等重点环保设备设施，开展环保设备设施安全风险辨识评估和隐患排查治理，落实安全生产各项责任措施。环保设备设施依法开展安全风险评估，按要求设置安全监测监控系统和联锁保护装置，做好安全防范。</w:t>
      </w:r>
    </w:p>
    <w:p>
      <w:pPr>
        <w:widowControl/>
        <w:snapToGrid w:val="0"/>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五</w:t>
      </w:r>
      <w:r>
        <w:rPr>
          <w:rFonts w:eastAsia="仿宋_GB2312"/>
          <w:color w:val="000000" w:themeColor="text1"/>
          <w:sz w:val="32"/>
          <w:szCs w:val="32"/>
        </w:rPr>
        <w:t>、建设项目必须严格执行环境保护“三同时”制度。初步设计应当按照环境保护设计规范的要求，编制环境保护篇章，落实防治环境污染和生态破坏的措施以及环境保护设施投资概算。环保设施建设必须纳入施工合同，保证环保设施建设进度和资金。</w:t>
      </w:r>
    </w:p>
    <w:p>
      <w:pPr>
        <w:widowControl/>
        <w:snapToGrid w:val="0"/>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六</w:t>
      </w:r>
      <w:r>
        <w:rPr>
          <w:rFonts w:eastAsia="仿宋_GB2312"/>
          <w:color w:val="000000" w:themeColor="text1"/>
          <w:sz w:val="32"/>
          <w:szCs w:val="32"/>
        </w:rPr>
        <w:t>、《报告书》经批准后，如项目的性质、规模、地点、采用的生产工艺或防治污染的措施发生重大变动的，应依法重新报批项目的环境影响评价文件。超过五年方决定该项目开工建设的，应依法报我局重新审核。</w:t>
      </w:r>
    </w:p>
    <w:p>
      <w:pPr>
        <w:widowControl/>
        <w:snapToGrid w:val="0"/>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七</w:t>
      </w:r>
      <w:r>
        <w:rPr>
          <w:rFonts w:eastAsia="仿宋_GB2312"/>
          <w:color w:val="000000" w:themeColor="text1"/>
          <w:sz w:val="32"/>
          <w:szCs w:val="32"/>
        </w:rPr>
        <w:t>、国家对本项目应执行的环境标准作出修订或新颁布的要求，执行新标准和新要求。</w:t>
      </w:r>
    </w:p>
    <w:p>
      <w:pPr>
        <w:widowControl/>
        <w:snapToGrid w:val="0"/>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八</w:t>
      </w:r>
      <w:r>
        <w:rPr>
          <w:rFonts w:eastAsia="仿宋_GB2312"/>
          <w:color w:val="000000" w:themeColor="text1"/>
          <w:sz w:val="32"/>
          <w:szCs w:val="32"/>
        </w:rPr>
        <w:t>、</w:t>
      </w:r>
      <w:r>
        <w:rPr>
          <w:rFonts w:hint="eastAsia" w:eastAsia="仿宋_GB2312"/>
          <w:color w:val="000000" w:themeColor="text1"/>
          <w:sz w:val="32"/>
          <w:szCs w:val="32"/>
        </w:rPr>
        <w:t>项目</w:t>
      </w:r>
      <w:r>
        <w:rPr>
          <w:rFonts w:eastAsia="仿宋_GB2312"/>
          <w:color w:val="000000" w:themeColor="text1"/>
          <w:sz w:val="32"/>
          <w:szCs w:val="32"/>
        </w:rPr>
        <w:t>新增</w:t>
      </w:r>
      <w:r>
        <w:rPr>
          <w:rFonts w:hint="eastAsia" w:eastAsia="仿宋_GB2312"/>
          <w:color w:val="000000" w:themeColor="text1"/>
          <w:sz w:val="32"/>
          <w:szCs w:val="32"/>
        </w:rPr>
        <w:t>主要</w:t>
      </w:r>
      <w:r>
        <w:rPr>
          <w:rFonts w:eastAsia="仿宋_GB2312"/>
          <w:color w:val="000000" w:themeColor="text1"/>
          <w:sz w:val="32"/>
          <w:szCs w:val="32"/>
        </w:rPr>
        <w:t>污染物总量控制指标</w:t>
      </w:r>
      <w:r>
        <w:rPr>
          <w:rFonts w:hint="eastAsia" w:eastAsia="仿宋_GB2312"/>
          <w:color w:val="000000" w:themeColor="text1"/>
          <w:sz w:val="32"/>
          <w:szCs w:val="32"/>
        </w:rPr>
        <w:t>为：VOCs 6.764t/a。</w:t>
      </w:r>
    </w:p>
    <w:p>
      <w:pPr>
        <w:widowControl/>
        <w:snapToGrid w:val="0"/>
        <w:spacing w:line="560" w:lineRule="exact"/>
        <w:ind w:firstLine="640" w:firstLineChars="200"/>
        <w:rPr>
          <w:color w:val="000000" w:themeColor="text1"/>
          <w:kern w:val="0"/>
          <w:sz w:val="24"/>
          <w:szCs w:val="20"/>
        </w:rPr>
      </w:pPr>
      <w:r>
        <w:rPr>
          <w:rFonts w:hint="eastAsia" w:eastAsia="仿宋_GB2312"/>
          <w:color w:val="000000" w:themeColor="text1"/>
          <w:sz w:val="32"/>
          <w:szCs w:val="32"/>
        </w:rPr>
        <w:t>九、</w:t>
      </w:r>
      <w:r>
        <w:rPr>
          <w:rFonts w:eastAsia="仿宋_GB2312"/>
          <w:color w:val="000000" w:themeColor="text1"/>
          <w:sz w:val="32"/>
          <w:szCs w:val="32"/>
        </w:rPr>
        <w:t>该项目投入生产或使用并产生实际排污行为之前，按《固定污染源排污许可分类管理名录》</w:t>
      </w:r>
      <w:r>
        <w:rPr>
          <w:rFonts w:hint="eastAsia" w:eastAsia="仿宋_GB2312"/>
          <w:color w:val="000000" w:themeColor="text1"/>
          <w:sz w:val="32"/>
          <w:szCs w:val="32"/>
        </w:rPr>
        <w:t>重新</w:t>
      </w:r>
      <w:r>
        <w:rPr>
          <w:rFonts w:eastAsia="仿宋_GB2312"/>
          <w:color w:val="000000" w:themeColor="text1"/>
          <w:sz w:val="32"/>
          <w:szCs w:val="32"/>
        </w:rPr>
        <w:t>申领排污许可证。</w:t>
      </w:r>
    </w:p>
    <w:p>
      <w:pPr>
        <w:widowControl/>
        <w:snapToGrid w:val="0"/>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十</w:t>
      </w:r>
      <w:r>
        <w:rPr>
          <w:rFonts w:eastAsia="仿宋_GB2312"/>
          <w:color w:val="000000" w:themeColor="text1"/>
          <w:sz w:val="32"/>
          <w:szCs w:val="32"/>
        </w:rPr>
        <w:t>、该项目建成后，应按照法定程序和要求及时开展建设项目竣工环境保护验收和验收信息报送工作，并依法依规公开相关信息。</w:t>
      </w:r>
    </w:p>
    <w:p>
      <w:pPr>
        <w:widowControl/>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十</w:t>
      </w:r>
      <w:r>
        <w:rPr>
          <w:rFonts w:hint="eastAsia" w:eastAsia="仿宋_GB2312"/>
          <w:color w:val="000000" w:themeColor="text1"/>
          <w:sz w:val="32"/>
          <w:szCs w:val="32"/>
        </w:rPr>
        <w:t>一</w:t>
      </w:r>
      <w:r>
        <w:rPr>
          <w:rFonts w:eastAsia="仿宋_GB2312"/>
          <w:color w:val="000000" w:themeColor="text1"/>
          <w:sz w:val="32"/>
          <w:szCs w:val="32"/>
        </w:rPr>
        <w:t>、项目实施过程中应依法严格执行相关主管部门规定，取得了法定许可后方可开工。</w:t>
      </w:r>
    </w:p>
    <w:p>
      <w:pPr>
        <w:widowControl/>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十</w:t>
      </w:r>
      <w:r>
        <w:rPr>
          <w:rFonts w:hint="eastAsia" w:eastAsia="仿宋_GB2312"/>
          <w:color w:val="000000" w:themeColor="text1"/>
          <w:sz w:val="32"/>
          <w:szCs w:val="32"/>
        </w:rPr>
        <w:t>二</w:t>
      </w:r>
      <w:r>
        <w:rPr>
          <w:rFonts w:eastAsia="仿宋_GB2312"/>
          <w:color w:val="000000" w:themeColor="text1"/>
          <w:sz w:val="32"/>
          <w:szCs w:val="32"/>
        </w:rPr>
        <w:t>、市生态环境保护综合行政执法支队、</w:t>
      </w:r>
      <w:r>
        <w:rPr>
          <w:rFonts w:hint="eastAsia" w:eastAsia="仿宋_GB2312"/>
          <w:color w:val="000000" w:themeColor="text1"/>
          <w:sz w:val="32"/>
          <w:szCs w:val="32"/>
        </w:rPr>
        <w:t>徽州区</w:t>
      </w:r>
      <w:r>
        <w:rPr>
          <w:rFonts w:eastAsia="仿宋_GB2312"/>
          <w:color w:val="000000" w:themeColor="text1"/>
          <w:sz w:val="32"/>
          <w:szCs w:val="32"/>
        </w:rPr>
        <w:t>生态环境分局负责该项目“三同时”日常监督管理工作。</w:t>
      </w:r>
    </w:p>
    <w:p>
      <w:pPr>
        <w:widowControl/>
        <w:snapToGrid w:val="0"/>
        <w:spacing w:line="560" w:lineRule="exact"/>
        <w:ind w:firstLine="640" w:firstLineChars="200"/>
        <w:rPr>
          <w:rFonts w:eastAsia="仿宋_GB2312"/>
          <w:color w:val="000000" w:themeColor="text1"/>
          <w:sz w:val="32"/>
          <w:szCs w:val="32"/>
        </w:rPr>
      </w:pPr>
    </w:p>
    <w:p>
      <w:pPr>
        <w:widowControl/>
        <w:snapToGrid w:val="0"/>
        <w:spacing w:line="560" w:lineRule="exact"/>
        <w:ind w:firstLine="640" w:firstLineChars="200"/>
        <w:rPr>
          <w:rFonts w:eastAsia="仿宋_GB2312"/>
          <w:color w:val="000000" w:themeColor="text1"/>
          <w:sz w:val="32"/>
          <w:szCs w:val="32"/>
        </w:rPr>
      </w:pPr>
    </w:p>
    <w:p>
      <w:pPr>
        <w:spacing w:line="560" w:lineRule="exact"/>
        <w:jc w:val="center"/>
        <w:rPr>
          <w:rFonts w:eastAsia="楷体"/>
          <w:color w:val="000000" w:themeColor="text1"/>
          <w:sz w:val="24"/>
        </w:rPr>
      </w:pPr>
    </w:p>
    <w:p>
      <w:pPr>
        <w:widowControl/>
        <w:snapToGrid w:val="0"/>
        <w:spacing w:line="560" w:lineRule="exact"/>
        <w:ind w:firstLine="5760" w:firstLineChars="1800"/>
        <w:rPr>
          <w:rFonts w:eastAsia="仿宋_GB2312"/>
          <w:color w:val="000000" w:themeColor="text1"/>
          <w:sz w:val="32"/>
          <w:szCs w:val="32"/>
        </w:rPr>
      </w:pPr>
      <w:r>
        <w:rPr>
          <w:rFonts w:eastAsia="仿宋_GB2312"/>
          <w:color w:val="000000" w:themeColor="text1"/>
          <w:sz w:val="32"/>
          <w:szCs w:val="32"/>
        </w:rPr>
        <w:t>202</w:t>
      </w:r>
      <w:r>
        <w:rPr>
          <w:rFonts w:hint="eastAsia" w:eastAsia="仿宋_GB2312"/>
          <w:color w:val="000000" w:themeColor="text1"/>
          <w:sz w:val="32"/>
          <w:szCs w:val="32"/>
        </w:rPr>
        <w:t>4</w:t>
      </w:r>
      <w:r>
        <w:rPr>
          <w:rFonts w:eastAsia="仿宋_GB2312"/>
          <w:color w:val="000000" w:themeColor="text1"/>
          <w:sz w:val="32"/>
          <w:szCs w:val="32"/>
        </w:rPr>
        <w:t>年</w:t>
      </w:r>
      <w:r>
        <w:rPr>
          <w:rFonts w:hint="eastAsia" w:eastAsia="仿宋_GB2312"/>
          <w:color w:val="000000" w:themeColor="text1"/>
          <w:sz w:val="32"/>
          <w:szCs w:val="32"/>
        </w:rPr>
        <w:t>9</w:t>
      </w:r>
      <w:r>
        <w:rPr>
          <w:rFonts w:eastAsia="仿宋_GB2312"/>
          <w:color w:val="000000" w:themeColor="text1"/>
          <w:sz w:val="32"/>
          <w:szCs w:val="32"/>
        </w:rPr>
        <w:t>月</w:t>
      </w:r>
      <w:r>
        <w:rPr>
          <w:rFonts w:hint="eastAsia" w:eastAsia="仿宋_GB2312"/>
          <w:color w:val="000000" w:themeColor="text1"/>
          <w:sz w:val="32"/>
          <w:szCs w:val="32"/>
        </w:rPr>
        <w:t>3</w:t>
      </w:r>
      <w:r>
        <w:rPr>
          <w:rFonts w:eastAsia="仿宋_GB2312"/>
          <w:color w:val="000000" w:themeColor="text1"/>
          <w:sz w:val="32"/>
          <w:szCs w:val="32"/>
        </w:rPr>
        <w:t>日</w:t>
      </w:r>
    </w:p>
    <w:p>
      <w:pPr>
        <w:spacing w:line="560" w:lineRule="exact"/>
        <w:ind w:left="320" w:hanging="320" w:hangingChars="100"/>
        <w:jc w:val="center"/>
        <w:rPr>
          <w:rFonts w:eastAsia="仿宋_GB2312"/>
          <w:color w:val="000000" w:themeColor="text1"/>
          <w:sz w:val="32"/>
          <w:szCs w:val="32"/>
        </w:rPr>
      </w:pPr>
    </w:p>
    <w:p>
      <w:pPr>
        <w:spacing w:line="560" w:lineRule="exact"/>
        <w:ind w:left="320" w:hanging="320" w:hangingChars="100"/>
        <w:jc w:val="center"/>
        <w:rPr>
          <w:rFonts w:eastAsia="仿宋_GB2312"/>
          <w:color w:val="000000" w:themeColor="text1"/>
          <w:sz w:val="32"/>
          <w:szCs w:val="32"/>
        </w:rPr>
      </w:pPr>
    </w:p>
    <w:tbl>
      <w:tblPr>
        <w:tblStyle w:val="14"/>
        <w:tblpPr w:leftFromText="180" w:rightFromText="180" w:vertAnchor="text" w:horzAnchor="margin" w:tblpY="158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613" w:type="dxa"/>
            <w:tcBorders>
              <w:top w:val="single" w:color="auto" w:sz="4" w:space="0"/>
              <w:left w:val="nil"/>
              <w:bottom w:val="single" w:color="auto" w:sz="4" w:space="0"/>
              <w:right w:val="nil"/>
            </w:tcBorders>
            <w:vAlign w:val="center"/>
          </w:tcPr>
          <w:p>
            <w:pPr>
              <w:adjustRightInd w:val="0"/>
              <w:snapToGrid w:val="0"/>
              <w:spacing w:line="400" w:lineRule="exact"/>
              <w:ind w:left="1050" w:leftChars="100" w:hanging="840" w:hangingChars="300"/>
              <w:rPr>
                <w:rFonts w:eastAsia="仿宋_GB2312"/>
                <w:color w:val="000000" w:themeColor="text1"/>
                <w:sz w:val="28"/>
                <w:szCs w:val="28"/>
              </w:rPr>
            </w:pPr>
            <w:r>
              <w:rPr>
                <w:rFonts w:eastAsia="仿宋_GB2312"/>
                <w:color w:val="000000" w:themeColor="text1"/>
                <w:sz w:val="28"/>
                <w:szCs w:val="28"/>
              </w:rPr>
              <w:t>抄送：市生态环境保护综合行政执法支队，</w:t>
            </w:r>
            <w:r>
              <w:rPr>
                <w:rFonts w:hint="eastAsia" w:eastAsia="仿宋_GB2312"/>
                <w:color w:val="000000" w:themeColor="text1"/>
                <w:sz w:val="28"/>
                <w:szCs w:val="28"/>
              </w:rPr>
              <w:t>徽州区</w:t>
            </w:r>
            <w:r>
              <w:rPr>
                <w:rFonts w:eastAsia="仿宋_GB2312"/>
                <w:color w:val="000000" w:themeColor="text1"/>
                <w:sz w:val="28"/>
                <w:szCs w:val="28"/>
              </w:rPr>
              <w:t>生态环境分局，</w:t>
            </w:r>
            <w:r>
              <w:rPr>
                <w:rFonts w:hint="eastAsia" w:eastAsia="仿宋_GB2312"/>
                <w:color w:val="000000" w:themeColor="text1"/>
                <w:sz w:val="28"/>
                <w:szCs w:val="28"/>
              </w:rPr>
              <w:t>徽州区</w:t>
            </w:r>
            <w:r>
              <w:rPr>
                <w:rFonts w:eastAsia="仿宋_GB2312"/>
                <w:color w:val="000000" w:themeColor="text1"/>
                <w:sz w:val="28"/>
                <w:szCs w:val="28"/>
              </w:rPr>
              <w:t>经济开发区管委会，</w:t>
            </w:r>
            <w:r>
              <w:rPr>
                <w:rFonts w:hint="eastAsia" w:eastAsia="仿宋_GB2312"/>
                <w:color w:val="000000" w:themeColor="text1"/>
                <w:sz w:val="28"/>
                <w:szCs w:val="28"/>
              </w:rPr>
              <w:t>安徽恒泽环境科技</w:t>
            </w:r>
            <w:r>
              <w:rPr>
                <w:rFonts w:eastAsia="仿宋_GB2312"/>
                <w:color w:val="000000" w:themeColor="text1"/>
                <w:sz w:val="28"/>
                <w:szCs w:val="28"/>
              </w:rPr>
              <w:t>有限公司</w:t>
            </w:r>
            <w:r>
              <w:rPr>
                <w:rFonts w:hint="eastAsia" w:eastAsia="仿宋_GB2312"/>
                <w:color w:val="000000" w:themeColor="text1"/>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613" w:type="dxa"/>
            <w:tcBorders>
              <w:top w:val="single" w:color="auto" w:sz="4" w:space="0"/>
              <w:left w:val="nil"/>
              <w:bottom w:val="single" w:color="auto" w:sz="4" w:space="0"/>
              <w:right w:val="nil"/>
            </w:tcBorders>
            <w:vAlign w:val="center"/>
          </w:tcPr>
          <w:p>
            <w:pPr>
              <w:adjustRightInd w:val="0"/>
              <w:snapToGrid w:val="0"/>
              <w:spacing w:line="400" w:lineRule="exact"/>
              <w:ind w:firstLine="140" w:firstLineChars="50"/>
              <w:rPr>
                <w:rFonts w:eastAsia="仿宋_GB2312"/>
                <w:color w:val="000000" w:themeColor="text1"/>
                <w:sz w:val="28"/>
                <w:szCs w:val="28"/>
              </w:rPr>
            </w:pPr>
            <w:r>
              <w:rPr>
                <w:rFonts w:eastAsia="仿宋_GB2312"/>
                <w:color w:val="000000" w:themeColor="text1"/>
                <w:sz w:val="28"/>
                <w:szCs w:val="28"/>
              </w:rPr>
              <w:t>黄山市生态环境局                     202</w:t>
            </w:r>
            <w:r>
              <w:rPr>
                <w:rFonts w:hint="eastAsia" w:eastAsia="仿宋_GB2312"/>
                <w:color w:val="000000" w:themeColor="text1"/>
                <w:sz w:val="28"/>
                <w:szCs w:val="28"/>
              </w:rPr>
              <w:t>4</w:t>
            </w:r>
            <w:r>
              <w:rPr>
                <w:rFonts w:eastAsia="仿宋_GB2312"/>
                <w:color w:val="000000" w:themeColor="text1"/>
                <w:sz w:val="28"/>
                <w:szCs w:val="28"/>
              </w:rPr>
              <w:t>年</w:t>
            </w:r>
            <w:r>
              <w:rPr>
                <w:rFonts w:hint="eastAsia" w:eastAsia="仿宋_GB2312"/>
                <w:color w:val="000000" w:themeColor="text1"/>
                <w:sz w:val="28"/>
                <w:szCs w:val="28"/>
              </w:rPr>
              <w:t>9</w:t>
            </w:r>
            <w:r>
              <w:rPr>
                <w:rFonts w:eastAsia="仿宋_GB2312"/>
                <w:color w:val="000000" w:themeColor="text1"/>
                <w:sz w:val="28"/>
                <w:szCs w:val="28"/>
              </w:rPr>
              <w:t>月</w:t>
            </w:r>
            <w:r>
              <w:rPr>
                <w:rFonts w:hint="eastAsia" w:eastAsia="仿宋_GB2312"/>
                <w:color w:val="000000" w:themeColor="text1"/>
                <w:sz w:val="28"/>
                <w:szCs w:val="28"/>
              </w:rPr>
              <w:t xml:space="preserve"> 3</w:t>
            </w:r>
            <w:r>
              <w:rPr>
                <w:rFonts w:eastAsia="仿宋_GB2312"/>
                <w:color w:val="000000" w:themeColor="text1"/>
                <w:sz w:val="28"/>
                <w:szCs w:val="28"/>
              </w:rPr>
              <w:t>日印发</w:t>
            </w:r>
          </w:p>
        </w:tc>
      </w:tr>
    </w:tbl>
    <w:p>
      <w:pPr>
        <w:spacing w:line="560" w:lineRule="exact"/>
        <w:jc w:val="center"/>
        <w:rPr>
          <w:rFonts w:eastAsia="仿宋_GB2312"/>
          <w:sz w:val="32"/>
          <w:szCs w:val="32"/>
        </w:rPr>
      </w:pPr>
    </w:p>
    <w:sectPr>
      <w:footerReference r:id="rId3" w:type="default"/>
      <w:footerReference r:id="rId4" w:type="even"/>
      <w:pgSz w:w="11906" w:h="16838"/>
      <w:pgMar w:top="1985" w:right="1797" w:bottom="1134" w:left="1797" w:header="851" w:footer="79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algun Gothic Semilight">
    <w:altName w:val="汉仪仿宋S"/>
    <w:panose1 w:val="00000000000000000000"/>
    <w:charset w:val="86"/>
    <w:family w:val="swiss"/>
    <w:pitch w:val="default"/>
    <w:sig w:usb0="00000000" w:usb1="00000000" w:usb2="00000012" w:usb3="00000000" w:csb0="003E01BD"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02F0"/>
    <w:multiLevelType w:val="singleLevel"/>
    <w:tmpl w:val="1F5302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mirrorMargins w:val="true"/>
  <w:bordersDoNotSurroundHeader w:val="true"/>
  <w:bordersDoNotSurroundFooter w:val="true"/>
  <w:documentProtection w:enforcement="0"/>
  <w:defaultTabStop w:val="420"/>
  <w:doNotHyphenateCaps/>
  <w:evenAndOddHeaders w:val="true"/>
  <w:drawingGridHorizontalSpacing w:val="105"/>
  <w:drawingGridVerticalSpacing w:val="435"/>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A1F"/>
    <w:rsid w:val="00103764"/>
    <w:rsid w:val="001040B0"/>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A11"/>
    <w:rsid w:val="002C56D3"/>
    <w:rsid w:val="002C7ECC"/>
    <w:rsid w:val="002D09E8"/>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 w:val="DFDF7650"/>
    <w:rsid w:val="F39B5756"/>
    <w:rsid w:val="FAFF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locked/>
    <w:uiPriority w:val="0"/>
    <w:pPr>
      <w:keepNext/>
      <w:keepLines/>
      <w:spacing w:before="340" w:after="330" w:line="578" w:lineRule="auto"/>
      <w:outlineLvl w:val="0"/>
    </w:pPr>
    <w:rPr>
      <w:b/>
      <w:bCs/>
      <w:kern w:val="44"/>
      <w:sz w:val="44"/>
      <w:szCs w:val="44"/>
    </w:rPr>
  </w:style>
  <w:style w:type="paragraph" w:styleId="5">
    <w:name w:val="heading 2"/>
    <w:basedOn w:val="1"/>
    <w:next w:val="1"/>
    <w:link w:val="27"/>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28"/>
    <w:qFormat/>
    <w:uiPriority w:val="0"/>
    <w:pPr>
      <w:ind w:firstLine="420" w:firstLineChars="200"/>
    </w:pPr>
    <w:rPr>
      <w:kern w:val="0"/>
      <w:sz w:val="24"/>
      <w:szCs w:val="20"/>
    </w:rPr>
  </w:style>
  <w:style w:type="paragraph" w:customStyle="1" w:styleId="3">
    <w:name w:val="附图图片"/>
    <w:basedOn w:val="1"/>
    <w:qFormat/>
    <w:uiPriority w:val="0"/>
    <w:pPr>
      <w:spacing w:before="100" w:beforeLines="100"/>
      <w:jc w:val="center"/>
    </w:pPr>
    <w:rPr>
      <w:rFonts w:eastAsia="楷体"/>
      <w:sz w:val="24"/>
    </w:rPr>
  </w:style>
  <w:style w:type="paragraph" w:styleId="6">
    <w:name w:val="annotation text"/>
    <w:basedOn w:val="1"/>
    <w:link w:val="29"/>
    <w:semiHidden/>
    <w:qFormat/>
    <w:uiPriority w:val="0"/>
    <w:pPr>
      <w:jc w:val="left"/>
    </w:pPr>
    <w:rPr>
      <w:szCs w:val="21"/>
    </w:rPr>
  </w:style>
  <w:style w:type="paragraph" w:styleId="7">
    <w:name w:val="Body Text"/>
    <w:basedOn w:val="1"/>
    <w:next w:val="1"/>
    <w:qFormat/>
    <w:uiPriority w:val="0"/>
    <w:pPr>
      <w:spacing w:after="120"/>
    </w:pPr>
  </w:style>
  <w:style w:type="paragraph" w:styleId="8">
    <w:name w:val="Date"/>
    <w:basedOn w:val="1"/>
    <w:next w:val="1"/>
    <w:link w:val="30"/>
    <w:qFormat/>
    <w:uiPriority w:val="0"/>
    <w:pPr>
      <w:ind w:left="100" w:leftChars="2500"/>
    </w:pPr>
    <w:rPr>
      <w:sz w:val="24"/>
    </w:rPr>
  </w:style>
  <w:style w:type="paragraph" w:styleId="9">
    <w:name w:val="Body Text Indent 2"/>
    <w:basedOn w:val="1"/>
    <w:link w:val="31"/>
    <w:qFormat/>
    <w:uiPriority w:val="0"/>
    <w:pPr>
      <w:spacing w:line="590" w:lineRule="exact"/>
      <w:ind w:firstLine="880" w:firstLineChars="200"/>
    </w:pPr>
    <w:rPr>
      <w:rFonts w:eastAsia="方正仿宋_GBK"/>
    </w:rPr>
  </w:style>
  <w:style w:type="paragraph" w:styleId="10">
    <w:name w:val="footer"/>
    <w:basedOn w:val="1"/>
    <w:link w:val="32"/>
    <w:qFormat/>
    <w:uiPriority w:val="0"/>
    <w:pPr>
      <w:tabs>
        <w:tab w:val="center" w:pos="4153"/>
        <w:tab w:val="right" w:pos="8306"/>
      </w:tabs>
      <w:snapToGrid w:val="0"/>
      <w:jc w:val="left"/>
    </w:pPr>
    <w:rPr>
      <w:sz w:val="18"/>
      <w:szCs w:val="20"/>
    </w:rPr>
  </w:style>
  <w:style w:type="paragraph" w:styleId="11">
    <w:name w:val="header"/>
    <w:basedOn w:val="1"/>
    <w:link w:val="33"/>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39"/>
    <w:pPr>
      <w:tabs>
        <w:tab w:val="right" w:leader="dot" w:pos="8302"/>
      </w:tabs>
      <w:spacing w:before="120" w:after="120" w:line="360" w:lineRule="auto"/>
      <w:jc w:val="distribute"/>
    </w:pPr>
    <w:rPr>
      <w:rFonts w:ascii="黑体" w:hAnsi="黑体" w:eastAsia="黑体"/>
      <w:bCs/>
      <w:caps/>
      <w:kern w:val="44"/>
      <w:szCs w:val="20"/>
    </w:r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locked/>
    <w:uiPriority w:val="0"/>
    <w:rPr>
      <w:rFonts w:cs="Times New Roman"/>
      <w:b/>
      <w:bCs/>
    </w:rPr>
  </w:style>
  <w:style w:type="character" w:styleId="18">
    <w:name w:val="page number"/>
    <w:qFormat/>
    <w:uiPriority w:val="0"/>
    <w:rPr>
      <w:rFonts w:cs="Times New Roman"/>
    </w:rPr>
  </w:style>
  <w:style w:type="character" w:styleId="19">
    <w:name w:val="Emphasis"/>
    <w:qFormat/>
    <w:locked/>
    <w:uiPriority w:val="0"/>
    <w:rPr>
      <w:rFonts w:cs="Times New Roman"/>
      <w:i/>
      <w:iCs/>
    </w:rPr>
  </w:style>
  <w:style w:type="character" w:styleId="20">
    <w:name w:val="Hyperlink"/>
    <w:qFormat/>
    <w:uiPriority w:val="0"/>
    <w:rPr>
      <w:rFonts w:ascii="微软雅黑" w:hAnsi="微软雅黑" w:eastAsia="微软雅黑"/>
      <w:color w:val="000000"/>
      <w:sz w:val="18"/>
      <w:u w:val="none"/>
    </w:rPr>
  </w:style>
  <w:style w:type="paragraph" w:customStyle="1" w:styleId="21">
    <w:name w:val="Default"/>
    <w:basedOn w:val="22"/>
    <w:next w:val="23"/>
    <w:qFormat/>
    <w:uiPriority w:val="99"/>
    <w:pPr>
      <w:tabs>
        <w:tab w:val="left" w:pos="0"/>
      </w:tabs>
      <w:autoSpaceDE w:val="0"/>
      <w:autoSpaceDN w:val="0"/>
      <w:adjustRightInd w:val="0"/>
    </w:pPr>
    <w:rPr>
      <w:color w:val="000000"/>
      <w:sz w:val="24"/>
    </w:rPr>
  </w:style>
  <w:style w:type="paragraph" w:customStyle="1" w:styleId="22">
    <w:name w:val="标题2"/>
    <w:basedOn w:val="5"/>
    <w:qFormat/>
    <w:uiPriority w:val="0"/>
    <w:pPr>
      <w:tabs>
        <w:tab w:val="left" w:pos="0"/>
      </w:tabs>
      <w:spacing w:line="440" w:lineRule="exact"/>
      <w:ind w:left="1560"/>
    </w:pPr>
    <w:rPr>
      <w:sz w:val="28"/>
    </w:rPr>
  </w:style>
  <w:style w:type="paragraph" w:customStyle="1" w:styleId="23">
    <w:name w:val="样式3"/>
    <w:basedOn w:val="12"/>
    <w:next w:val="24"/>
    <w:qFormat/>
    <w:uiPriority w:val="0"/>
    <w:pPr>
      <w:autoSpaceDE w:val="0"/>
      <w:autoSpaceDN w:val="0"/>
      <w:snapToGrid w:val="0"/>
      <w:spacing w:line="460" w:lineRule="atLeast"/>
      <w:jc w:val="center"/>
    </w:pPr>
    <w:rPr>
      <w:rFonts w:ascii="Times New Roman" w:hAnsi="Times New Roman"/>
      <w:kern w:val="2"/>
      <w:sz w:val="28"/>
    </w:rPr>
  </w:style>
  <w:style w:type="paragraph" w:customStyle="1" w:styleId="24">
    <w:name w:val="目录 53"/>
    <w:basedOn w:val="1"/>
    <w:next w:val="1"/>
    <w:qFormat/>
    <w:uiPriority w:val="0"/>
    <w:pPr>
      <w:ind w:left="840"/>
    </w:pPr>
    <w:rPr>
      <w:rFonts w:cs="宋体"/>
      <w:color w:val="000000"/>
    </w:rPr>
  </w:style>
  <w:style w:type="paragraph" w:customStyle="1" w:styleId="25">
    <w:name w:val="正文1"/>
    <w:qFormat/>
    <w:uiPriority w:val="0"/>
    <w:pPr>
      <w:spacing w:line="520" w:lineRule="exact"/>
      <w:ind w:firstLine="1128" w:firstLineChars="200"/>
      <w:jc w:val="both"/>
    </w:pPr>
    <w:rPr>
      <w:rFonts w:ascii="Times New Roman" w:hAnsi="Times New Roman" w:eastAsia="宋体" w:cs="Times New Roman"/>
      <w:kern w:val="2"/>
      <w:sz w:val="24"/>
      <w:szCs w:val="24"/>
      <w:lang w:val="en-US" w:eastAsia="zh-CN" w:bidi="ar-SA"/>
    </w:rPr>
  </w:style>
  <w:style w:type="character" w:customStyle="1" w:styleId="26">
    <w:name w:val="标题 1 Char"/>
    <w:link w:val="4"/>
    <w:qFormat/>
    <w:uiPriority w:val="0"/>
    <w:rPr>
      <w:b/>
      <w:bCs/>
      <w:kern w:val="44"/>
      <w:sz w:val="44"/>
      <w:szCs w:val="44"/>
    </w:rPr>
  </w:style>
  <w:style w:type="character" w:customStyle="1" w:styleId="27">
    <w:name w:val="标题 2 Char"/>
    <w:link w:val="5"/>
    <w:qFormat/>
    <w:locked/>
    <w:uiPriority w:val="0"/>
    <w:rPr>
      <w:rFonts w:ascii="宋体" w:hAnsi="宋体" w:eastAsia="宋体" w:cs="宋体"/>
      <w:b/>
      <w:bCs/>
      <w:sz w:val="36"/>
      <w:szCs w:val="36"/>
      <w:lang w:val="en-US" w:eastAsia="zh-CN" w:bidi="ar-SA"/>
    </w:rPr>
  </w:style>
  <w:style w:type="character" w:customStyle="1" w:styleId="28">
    <w:name w:val="正文缩进 Char"/>
    <w:link w:val="2"/>
    <w:qFormat/>
    <w:locked/>
    <w:uiPriority w:val="0"/>
    <w:rPr>
      <w:rFonts w:eastAsia="宋体"/>
      <w:sz w:val="24"/>
      <w:lang w:bidi="ar-SA"/>
    </w:rPr>
  </w:style>
  <w:style w:type="character" w:customStyle="1" w:styleId="29">
    <w:name w:val="批注文字 Char"/>
    <w:basedOn w:val="16"/>
    <w:link w:val="6"/>
    <w:qFormat/>
    <w:locked/>
    <w:uiPriority w:val="0"/>
    <w:rPr>
      <w:rFonts w:eastAsia="宋体"/>
      <w:kern w:val="2"/>
      <w:sz w:val="21"/>
      <w:szCs w:val="21"/>
      <w:lang w:val="en-US" w:eastAsia="zh-CN" w:bidi="ar-SA"/>
    </w:rPr>
  </w:style>
  <w:style w:type="character" w:customStyle="1" w:styleId="30">
    <w:name w:val="日期 Char"/>
    <w:link w:val="8"/>
    <w:semiHidden/>
    <w:qFormat/>
    <w:locked/>
    <w:uiPriority w:val="0"/>
    <w:rPr>
      <w:rFonts w:cs="Times New Roman"/>
      <w:kern w:val="2"/>
      <w:sz w:val="24"/>
      <w:szCs w:val="24"/>
    </w:rPr>
  </w:style>
  <w:style w:type="character" w:customStyle="1" w:styleId="31">
    <w:name w:val="正文文本缩进 2 Char"/>
    <w:basedOn w:val="16"/>
    <w:link w:val="9"/>
    <w:qFormat/>
    <w:locked/>
    <w:uiPriority w:val="0"/>
    <w:rPr>
      <w:rFonts w:eastAsia="方正仿宋_GBK"/>
      <w:kern w:val="2"/>
      <w:sz w:val="21"/>
      <w:szCs w:val="24"/>
      <w:lang w:val="en-US" w:eastAsia="zh-CN" w:bidi="ar-SA"/>
    </w:rPr>
  </w:style>
  <w:style w:type="character" w:customStyle="1" w:styleId="32">
    <w:name w:val="页脚 Char1"/>
    <w:link w:val="10"/>
    <w:qFormat/>
    <w:locked/>
    <w:uiPriority w:val="0"/>
    <w:rPr>
      <w:kern w:val="2"/>
      <w:sz w:val="18"/>
    </w:rPr>
  </w:style>
  <w:style w:type="character" w:customStyle="1" w:styleId="33">
    <w:name w:val="页眉 Char"/>
    <w:link w:val="11"/>
    <w:qFormat/>
    <w:locked/>
    <w:uiPriority w:val="0"/>
    <w:rPr>
      <w:rFonts w:cs="Times New Roman"/>
      <w:kern w:val="2"/>
      <w:sz w:val="18"/>
    </w:rPr>
  </w:style>
  <w:style w:type="character" w:customStyle="1" w:styleId="34">
    <w:name w:val="font12"/>
    <w:qFormat/>
    <w:uiPriority w:val="0"/>
    <w:rPr>
      <w:rFonts w:ascii="宋体" w:hAnsi="宋体" w:eastAsia="宋体" w:cs="宋体"/>
      <w:color w:val="000000"/>
      <w:sz w:val="22"/>
      <w:szCs w:val="22"/>
      <w:u w:val="none"/>
    </w:rPr>
  </w:style>
  <w:style w:type="character" w:customStyle="1" w:styleId="35">
    <w:name w:val="font101"/>
    <w:qFormat/>
    <w:uiPriority w:val="0"/>
    <w:rPr>
      <w:rFonts w:ascii="Times New Roman" w:hAnsi="Times New Roman" w:cs="Times New Roman"/>
      <w:color w:val="000000"/>
      <w:sz w:val="18"/>
      <w:szCs w:val="18"/>
      <w:u w:val="none"/>
    </w:rPr>
  </w:style>
  <w:style w:type="character" w:customStyle="1" w:styleId="36">
    <w:name w:val="Footer Char"/>
    <w:qFormat/>
    <w:locked/>
    <w:uiPriority w:val="0"/>
    <w:rPr>
      <w:rFonts w:cs="Times New Roman"/>
      <w:sz w:val="18"/>
      <w:szCs w:val="18"/>
    </w:rPr>
  </w:style>
  <w:style w:type="character" w:customStyle="1" w:styleId="37">
    <w:name w:val="font111"/>
    <w:qFormat/>
    <w:uiPriority w:val="0"/>
    <w:rPr>
      <w:rFonts w:ascii="Times New Roman" w:hAnsi="Times New Roman" w:cs="Times New Roman"/>
      <w:color w:val="000000"/>
      <w:sz w:val="22"/>
      <w:szCs w:val="22"/>
      <w:u w:val="none"/>
    </w:rPr>
  </w:style>
  <w:style w:type="character" w:customStyle="1" w:styleId="38">
    <w:name w:val="font151"/>
    <w:qFormat/>
    <w:uiPriority w:val="0"/>
    <w:rPr>
      <w:rFonts w:ascii="宋体" w:hAnsi="宋体" w:eastAsia="宋体" w:cs="宋体"/>
      <w:color w:val="000000"/>
      <w:sz w:val="21"/>
      <w:szCs w:val="21"/>
      <w:u w:val="none"/>
    </w:rPr>
  </w:style>
  <w:style w:type="character" w:customStyle="1" w:styleId="39">
    <w:name w:val="font61"/>
    <w:qFormat/>
    <w:uiPriority w:val="0"/>
    <w:rPr>
      <w:rFonts w:ascii="宋体" w:hAnsi="宋体" w:eastAsia="宋体" w:cs="宋体"/>
      <w:color w:val="000000"/>
      <w:sz w:val="18"/>
      <w:szCs w:val="18"/>
      <w:u w:val="none"/>
    </w:rPr>
  </w:style>
  <w:style w:type="paragraph" w:customStyle="1" w:styleId="40">
    <w:name w:val="Char"/>
    <w:basedOn w:val="1"/>
    <w:qFormat/>
    <w:uiPriority w:val="0"/>
    <w:pPr>
      <w:tabs>
        <w:tab w:val="left" w:pos="0"/>
      </w:tabs>
    </w:pPr>
  </w:style>
  <w:style w:type="paragraph" w:customStyle="1" w:styleId="41">
    <w:name w:val="Char Char Char Char"/>
    <w:basedOn w:val="1"/>
    <w:qFormat/>
    <w:uiPriority w:val="0"/>
    <w:pPr>
      <w:spacing w:line="360" w:lineRule="auto"/>
      <w:ind w:firstLine="200" w:firstLineChars="200"/>
    </w:pPr>
    <w:rPr>
      <w:rFonts w:ascii="宋体" w:hAnsi="宋体" w:cs="宋体"/>
      <w:sz w:val="24"/>
      <w:szCs w:val="20"/>
    </w:rPr>
  </w:style>
  <w:style w:type="paragraph" w:customStyle="1" w:styleId="42">
    <w:name w:val="_Style 33"/>
    <w:basedOn w:val="1"/>
    <w:qFormat/>
    <w:uiPriority w:val="0"/>
    <w:pPr>
      <w:spacing w:line="360" w:lineRule="auto"/>
      <w:ind w:firstLine="200" w:firstLineChars="200"/>
    </w:pPr>
    <w:rPr>
      <w:rFonts w:ascii="宋体" w:hAnsi="宋体" w:cs="宋体"/>
      <w:sz w:val="24"/>
      <w:szCs w:val="20"/>
    </w:rPr>
  </w:style>
  <w:style w:type="paragraph" w:customStyle="1" w:styleId="43">
    <w:name w:val="标准文字"/>
    <w:basedOn w:val="1"/>
    <w:qFormat/>
    <w:uiPriority w:val="0"/>
    <w:pPr>
      <w:overflowPunct w:val="0"/>
      <w:adjustRightInd w:val="0"/>
      <w:snapToGrid w:val="0"/>
      <w:spacing w:line="360" w:lineRule="auto"/>
      <w:ind w:firstLine="200" w:firstLineChars="200"/>
    </w:pPr>
    <w:rPr>
      <w:kern w:val="0"/>
      <w:sz w:val="28"/>
      <w:szCs w:val="21"/>
    </w:rPr>
  </w:style>
  <w:style w:type="paragraph" w:styleId="44">
    <w:name w:val="List Paragraph"/>
    <w:basedOn w:val="1"/>
    <w:qFormat/>
    <w:uiPriority w:val="34"/>
    <w:pPr>
      <w:ind w:firstLine="420" w:firstLineChars="200"/>
    </w:pPr>
  </w:style>
  <w:style w:type="paragraph" w:customStyle="1" w:styleId="45">
    <w:name w:val="Char Char Char Char Char Char Char"/>
    <w:basedOn w:val="1"/>
    <w:qFormat/>
    <w:uiPriority w:val="0"/>
  </w:style>
  <w:style w:type="paragraph" w:customStyle="1" w:styleId="46">
    <w:name w:val="Char1"/>
    <w:basedOn w:val="1"/>
    <w:qFormat/>
    <w:uiPriority w:val="0"/>
  </w:style>
  <w:style w:type="paragraph" w:customStyle="1" w:styleId="47">
    <w:name w:val="列出段落1"/>
    <w:basedOn w:val="1"/>
    <w:qFormat/>
    <w:uiPriority w:val="0"/>
    <w:pPr>
      <w:ind w:firstLine="420" w:firstLineChars="200"/>
    </w:pPr>
    <w:rPr>
      <w:rFonts w:ascii="Calibri" w:hAnsi="Calibri"/>
      <w:szCs w:val="22"/>
    </w:rPr>
  </w:style>
  <w:style w:type="character" w:customStyle="1" w:styleId="48">
    <w:name w:val="apple-converted-space"/>
    <w:qFormat/>
    <w:uiPriority w:val="0"/>
    <w:rPr>
      <w:rFonts w:cs="Times New Roman"/>
    </w:rPr>
  </w:style>
  <w:style w:type="character" w:customStyle="1" w:styleId="49">
    <w:name w:val="NormalCharacter"/>
    <w:semiHidden/>
    <w:qFormat/>
    <w:uiPriority w:val="0"/>
  </w:style>
  <w:style w:type="paragraph" w:customStyle="1" w:styleId="50">
    <w:name w:val="BodyTextIndent2"/>
    <w:basedOn w:val="1"/>
    <w:qFormat/>
    <w:uiPriority w:val="0"/>
    <w:pPr>
      <w:widowControl/>
      <w:spacing w:line="590" w:lineRule="exact"/>
      <w:ind w:firstLine="880" w:firstLineChars="200"/>
      <w:textAlignment w:val="baseline"/>
    </w:pPr>
    <w:rPr>
      <w:rFonts w:eastAsia="方正仿宋_GBK"/>
      <w:szCs w:val="22"/>
    </w:rPr>
  </w:style>
  <w:style w:type="paragraph" w:customStyle="1" w:styleId="51">
    <w:name w:val="Char Char Char Char Char Char1 Char Char Char Char Char Char Char Char Char Char Char Char Char"/>
    <w:basedOn w:val="1"/>
    <w:qFormat/>
    <w:uiPriority w:val="0"/>
    <w:pPr>
      <w:widowControl/>
      <w:spacing w:after="160" w:line="240" w:lineRule="exact"/>
      <w:jc w:val="left"/>
    </w:pPr>
  </w:style>
  <w:style w:type="paragraph" w:customStyle="1" w:styleId="52">
    <w:name w:val="p0"/>
    <w:basedOn w:val="1"/>
    <w:qFormat/>
    <w:uiPriority w:val="0"/>
    <w:pPr>
      <w:widowControl/>
      <w:spacing w:line="365" w:lineRule="atLeast"/>
      <w:ind w:left="1"/>
    </w:pPr>
    <w:rPr>
      <w:rFonts w:ascii="Calibri" w:hAnsi="Calibri"/>
      <w:kern w:val="0"/>
      <w:sz w:val="20"/>
      <w:szCs w:val="20"/>
    </w:rPr>
  </w:style>
  <w:style w:type="character" w:customStyle="1" w:styleId="53">
    <w:name w:val="font11"/>
    <w:qFormat/>
    <w:uiPriority w:val="0"/>
    <w:rPr>
      <w:rFonts w:hint="eastAsia" w:ascii="仿宋_GB2312" w:eastAsia="仿宋_GB2312" w:cs="仿宋_GB2312"/>
      <w:color w:val="000000"/>
      <w:sz w:val="24"/>
      <w:szCs w:val="24"/>
      <w:u w:val="none"/>
      <w:vertAlign w:val="superscript"/>
    </w:rPr>
  </w:style>
  <w:style w:type="character" w:customStyle="1" w:styleId="54">
    <w:name w:val="font41"/>
    <w:qFormat/>
    <w:uiPriority w:val="0"/>
    <w:rPr>
      <w:rFonts w:hint="eastAsia" w:ascii="宋体" w:hAnsi="宋体" w:eastAsia="宋体" w:cs="宋体"/>
      <w:color w:val="000000"/>
      <w:sz w:val="24"/>
      <w:szCs w:val="24"/>
      <w:u w:val="none"/>
    </w:rPr>
  </w:style>
  <w:style w:type="character" w:customStyle="1" w:styleId="55">
    <w:name w:val="font51"/>
    <w:qFormat/>
    <w:uiPriority w:val="0"/>
    <w:rPr>
      <w:rFonts w:ascii="Malgun Gothic Semilight" w:hAnsi="Malgun Gothic Semilight" w:eastAsia="Malgun Gothic Semilight" w:cs="Malgun Gothic Semilight"/>
      <w:color w:val="000000"/>
      <w:sz w:val="24"/>
      <w:szCs w:val="24"/>
      <w:u w:val="none"/>
    </w:rPr>
  </w:style>
  <w:style w:type="character" w:customStyle="1" w:styleId="56">
    <w:name w:val="font31"/>
    <w:qFormat/>
    <w:uiPriority w:val="0"/>
    <w:rPr>
      <w:rFonts w:hint="eastAsia" w:ascii="仿宋_GB2312" w:eastAsia="仿宋_GB2312" w:cs="仿宋_GB2312"/>
      <w:color w:val="000000"/>
      <w:sz w:val="24"/>
      <w:szCs w:val="24"/>
      <w:u w:val="none"/>
    </w:rPr>
  </w:style>
  <w:style w:type="character" w:customStyle="1" w:styleId="57">
    <w:name w:val="Char Char1"/>
    <w:qFormat/>
    <w:uiPriority w:val="0"/>
    <w:rPr>
      <w:sz w:val="18"/>
      <w:szCs w:val="18"/>
    </w:rPr>
  </w:style>
  <w:style w:type="character" w:customStyle="1" w:styleId="58">
    <w:name w:val="页脚 Char"/>
    <w:basedOn w:val="16"/>
    <w:qFormat/>
    <w:uiPriority w:val="99"/>
    <w:rPr>
      <w:sz w:val="18"/>
      <w:szCs w:val="18"/>
    </w:rPr>
  </w:style>
  <w:style w:type="paragraph" w:customStyle="1" w:styleId="59">
    <w:name w:val="Char2"/>
    <w:basedOn w:val="1"/>
    <w:qFormat/>
    <w:uiPriority w:val="0"/>
    <w:pPr>
      <w:tabs>
        <w:tab w:val="left" w:pos="0"/>
      </w:tabs>
    </w:pPr>
  </w:style>
  <w:style w:type="paragraph" w:customStyle="1" w:styleId="60">
    <w:name w:val="列出段落11"/>
    <w:basedOn w:val="1"/>
    <w:qFormat/>
    <w:uiPriority w:val="0"/>
    <w:pPr>
      <w:widowControl/>
      <w:spacing w:line="600" w:lineRule="exact"/>
      <w:ind w:firstLine="420" w:firstLineChars="200"/>
      <w:jc w:val="center"/>
    </w:pPr>
    <w:rPr>
      <w:rFonts w:ascii="Calibri" w:hAnsi="Calibri"/>
      <w:szCs w:val="22"/>
    </w:rPr>
  </w:style>
  <w:style w:type="paragraph" w:customStyle="1" w:styleId="61">
    <w:name w:val="Body text|1"/>
    <w:basedOn w:val="1"/>
    <w:qFormat/>
    <w:uiPriority w:val="0"/>
    <w:pPr>
      <w:spacing w:after="240" w:line="427" w:lineRule="auto"/>
      <w:ind w:firstLine="400"/>
    </w:pPr>
    <w:rPr>
      <w:rFonts w:ascii="宋体" w:hAnsi="宋体" w:cs="宋体"/>
      <w:sz w:val="30"/>
      <w:szCs w:val="30"/>
      <w:lang w:val="zh-TW" w:eastAsia="zh-TW"/>
    </w:rPr>
  </w:style>
  <w:style w:type="character" w:customStyle="1" w:styleId="62">
    <w:name w:val="Header Char"/>
    <w:basedOn w:val="16"/>
    <w:qFormat/>
    <w:locked/>
    <w:uiPriority w:val="0"/>
    <w:rPr>
      <w:rFonts w:cs="Times New Roman"/>
      <w:sz w:val="18"/>
      <w:szCs w:val="18"/>
    </w:rPr>
  </w:style>
  <w:style w:type="paragraph" w:customStyle="1" w:styleId="63">
    <w:name w:val="tb"/>
    <w:qFormat/>
    <w:uiPriority w:val="0"/>
    <w:pPr>
      <w:widowControl w:val="0"/>
      <w:spacing w:line="400" w:lineRule="atLeast"/>
      <w:jc w:val="both"/>
    </w:pPr>
    <w:rPr>
      <w:rFonts w:ascii="宋体" w:hAnsi="Arial" w:eastAsia="宋体" w:cs="Times New Roman"/>
      <w:kern w:val="2"/>
      <w:sz w:val="24"/>
      <w:szCs w:val="22"/>
      <w:lang w:val="en-US" w:eastAsia="zh-CN" w:bidi="ar-SA"/>
    </w:rPr>
  </w:style>
  <w:style w:type="paragraph" w:customStyle="1" w:styleId="64">
    <w:name w:val="公文标题1"/>
    <w:qFormat/>
    <w:uiPriority w:val="0"/>
    <w:pPr>
      <w:widowControl w:val="0"/>
      <w:adjustRightInd w:val="0"/>
      <w:spacing w:before="340" w:after="330" w:line="240" w:lineRule="atLeast"/>
      <w:ind w:firstLine="200" w:firstLineChars="200"/>
      <w:outlineLvl w:val="0"/>
    </w:pPr>
    <w:rPr>
      <w:rFonts w:ascii="Calibri" w:hAnsi="Calibri" w:eastAsia="华文中宋" w:cs="Times New Roman"/>
      <w:b/>
      <w:kern w:val="44"/>
      <w:sz w:val="36"/>
      <w:szCs w:val="22"/>
      <w:lang w:val="en-US" w:eastAsia="zh-CN" w:bidi="ar-SA"/>
    </w:rPr>
  </w:style>
  <w:style w:type="paragraph" w:customStyle="1" w:styleId="65">
    <w:name w:val="4级正文"/>
    <w:qFormat/>
    <w:uiPriority w:val="0"/>
    <w:pPr>
      <w:spacing w:line="580" w:lineRule="exact"/>
      <w:ind w:firstLine="200" w:firstLineChars="200"/>
    </w:pPr>
    <w:rPr>
      <w:rFonts w:ascii="仿宋_GB2312" w:hAnsi="仿宋_GB2312" w:eastAsia="仿宋_GB2312" w:cs="Times New Roman"/>
      <w:kern w:val="2"/>
      <w:sz w:val="32"/>
      <w:szCs w:val="22"/>
      <w:lang w:val="en-US" w:eastAsia="zh-CN" w:bidi="ar-SA"/>
    </w:rPr>
  </w:style>
  <w:style w:type="paragraph" w:customStyle="1" w:styleId="66">
    <w:name w:val="表内文字1"/>
    <w:basedOn w:val="1"/>
    <w:qFormat/>
    <w:uiPriority w:val="0"/>
    <w:pPr>
      <w:adjustRightInd w:val="0"/>
      <w:snapToGrid w:val="0"/>
      <w:jc w:val="center"/>
    </w:pPr>
    <w:rPr>
      <w:snapToGrid w:val="0"/>
      <w:kern w:val="0"/>
      <w:szCs w:val="20"/>
    </w:rPr>
  </w:style>
  <w:style w:type="character" w:customStyle="1" w:styleId="67">
    <w:name w:val="15"/>
    <w:qFormat/>
    <w:uiPriority w:val="0"/>
    <w:rPr>
      <w:rFonts w:hint="default" w:ascii="Times New Roman" w:hAnsi="Times New Roman" w:eastAsia="宋体" w:cs="Times New Roman"/>
      <w:color w:val="0000FF"/>
      <w:u w:val="single"/>
    </w:rPr>
  </w:style>
  <w:style w:type="paragraph" w:customStyle="1" w:styleId="68">
    <w:name w:val="正文（公文）"/>
    <w:basedOn w:val="1"/>
    <w:qFormat/>
    <w:uiPriority w:val="0"/>
    <w:pPr>
      <w:spacing w:line="580" w:lineRule="exact"/>
      <w:ind w:firstLine="420"/>
    </w:pPr>
    <w:rPr>
      <w:rFonts w:ascii="Calibri" w:hAnsi="Calibri" w:eastAsia="方正仿宋_GBK"/>
      <w:sz w:val="32"/>
    </w:rPr>
  </w:style>
  <w:style w:type="paragraph" w:customStyle="1" w:styleId="69">
    <w:name w:val="Char Char2"/>
    <w:basedOn w:val="1"/>
    <w:qFormat/>
    <w:uiPriority w:val="0"/>
    <w:pPr>
      <w:tabs>
        <w:tab w:val="left" w:pos="0"/>
      </w:tabs>
    </w:pPr>
  </w:style>
  <w:style w:type="paragraph" w:customStyle="1" w:styleId="70">
    <w:name w:val="文华表正文"/>
    <w:basedOn w:val="71"/>
    <w:qFormat/>
    <w:uiPriority w:val="0"/>
    <w:pPr>
      <w:ind w:firstLine="480"/>
    </w:pPr>
    <w:rPr>
      <w:rFonts w:hAnsi="宋体"/>
    </w:rPr>
  </w:style>
  <w:style w:type="paragraph" w:customStyle="1" w:styleId="71">
    <w:name w:val="报告表正文"/>
    <w:basedOn w:val="1"/>
    <w:qFormat/>
    <w:uiPriority w:val="0"/>
    <w:pPr>
      <w:spacing w:line="360" w:lineRule="auto"/>
      <w:ind w:firstLine="200" w:firstLineChars="200"/>
    </w:pPr>
    <w:rPr>
      <w:sz w:val="24"/>
    </w:rPr>
  </w:style>
  <w:style w:type="table" w:customStyle="1" w:styleId="72">
    <w:name w:val="网格型1"/>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10</Pages>
  <Words>837</Words>
  <Characters>4777</Characters>
  <Lines>39</Lines>
  <Paragraphs>11</Paragraphs>
  <TotalTime>7</TotalTime>
  <ScaleCrop>false</ScaleCrop>
  <LinksUpToDate>false</LinksUpToDate>
  <CharactersWithSpaces>5603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2024-09-04T00:13:00Z</dcterms:created>
  <dc:creator>雨林木风</dc:creator>
  <cp:lastModifiedBy>wyk</cp:lastModifiedBy>
  <cp:lastPrinted>2024-08-09T18:43:00Z</cp:lastPrinted>
  <dcterms:modified xsi:type="dcterms:W3CDTF">2024-09-04T09:07:39Z</dcterms:modified>
  <dc:title>黄环〔2011〕8号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