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76" w:beforeLines="1050" w:after="624" w:afterLines="200" w:line="560" w:lineRule="exact"/>
        <w:ind w:right="-334" w:rightChars="-159"/>
        <w:jc w:val="center"/>
        <w:rPr>
          <w:rFonts w:eastAsia="方正小标宋_GBK"/>
          <w:sz w:val="44"/>
          <w:szCs w:val="44"/>
        </w:rPr>
      </w:pPr>
      <w:r>
        <w:rPr>
          <w:rFonts w:eastAsia="仿宋_GB2312"/>
          <w:sz w:val="32"/>
          <w:szCs w:val="32"/>
        </w:rPr>
        <w:t>黄环建函〔2024〕</w:t>
      </w:r>
      <w:r>
        <w:rPr>
          <w:rFonts w:hint="eastAsia" w:eastAsia="仿宋_GB2312"/>
          <w:sz w:val="32"/>
          <w:szCs w:val="32"/>
        </w:rPr>
        <w:t>8</w:t>
      </w:r>
      <w:r>
        <w:rPr>
          <w:rFonts w:eastAsia="仿宋_GB2312"/>
          <w:sz w:val="32"/>
          <w:szCs w:val="32"/>
        </w:rPr>
        <w:t>号</w:t>
      </w:r>
    </w:p>
    <w:p>
      <w:pPr>
        <w:widowControl/>
        <w:shd w:val="clear" w:color="auto" w:fill="FFFFFF"/>
        <w:adjustRightInd w:val="0"/>
        <w:snapToGrid w:val="0"/>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关于黄山市沐颜粉末涂料有限公司</w:t>
      </w:r>
    </w:p>
    <w:p>
      <w:pPr>
        <w:widowControl/>
        <w:shd w:val="clear" w:color="auto" w:fill="FFFFFF"/>
        <w:adjustRightInd w:val="0"/>
        <w:snapToGrid w:val="0"/>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热固性粉末涂料生产项目</w:t>
      </w:r>
    </w:p>
    <w:p>
      <w:pPr>
        <w:widowControl/>
        <w:shd w:val="clear" w:color="auto" w:fill="FFFFFF"/>
        <w:adjustRightInd w:val="0"/>
        <w:snapToGrid w:val="0"/>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环境影响报告表的批复</w:t>
      </w:r>
    </w:p>
    <w:p>
      <w:pPr>
        <w:widowControl/>
        <w:shd w:val="clear" w:color="auto" w:fill="FFFFFF"/>
        <w:adjustRightInd w:val="0"/>
        <w:snapToGrid w:val="0"/>
        <w:spacing w:line="560" w:lineRule="exact"/>
        <w:rPr>
          <w:color w:val="333333"/>
          <w:kern w:val="0"/>
          <w:sz w:val="24"/>
          <w:shd w:val="clear" w:color="auto" w:fill="FFFFFF"/>
        </w:rPr>
      </w:pPr>
    </w:p>
    <w:p>
      <w:pPr>
        <w:widowControl/>
        <w:shd w:val="clear" w:color="auto" w:fill="FFFFFF"/>
        <w:adjustRightInd w:val="0"/>
        <w:snapToGrid w:val="0"/>
        <w:spacing w:line="560" w:lineRule="exact"/>
        <w:rPr>
          <w:rFonts w:ascii="仿宋" w:hAnsi="仿宋" w:eastAsia="仿宋"/>
          <w:color w:val="000000"/>
          <w:sz w:val="32"/>
          <w:szCs w:val="32"/>
          <w:lang w:val="zh-CN"/>
        </w:rPr>
      </w:pPr>
      <w:r>
        <w:rPr>
          <w:rFonts w:hint="eastAsia" w:ascii="仿宋" w:hAnsi="仿宋" w:eastAsia="仿宋"/>
          <w:color w:val="000000"/>
          <w:sz w:val="32"/>
          <w:szCs w:val="32"/>
          <w:lang w:val="zh-CN"/>
        </w:rPr>
        <w:t>黄山市沐颜粉末涂料有限公司：</w:t>
      </w:r>
    </w:p>
    <w:p>
      <w:pPr>
        <w:widowControl/>
        <w:shd w:val="clear" w:color="auto" w:fill="FFFFFF"/>
        <w:adjustRightInd w:val="0"/>
        <w:snapToGrid w:val="0"/>
        <w:spacing w:line="560" w:lineRule="exact"/>
        <w:ind w:firstLine="640" w:firstLineChars="200"/>
        <w:rPr>
          <w:rFonts w:eastAsia="仿宋_GB2312"/>
          <w:color w:val="000000"/>
          <w:sz w:val="32"/>
          <w:szCs w:val="32"/>
          <w:lang w:val="zh-CN"/>
        </w:rPr>
      </w:pPr>
      <w:r>
        <w:rPr>
          <w:rFonts w:hint="eastAsia" w:eastAsia="仿宋_GB2312"/>
          <w:color w:val="000000"/>
          <w:sz w:val="32"/>
          <w:szCs w:val="32"/>
          <w:lang w:val="zh-CN"/>
        </w:rPr>
        <w:t>你公司报来热固性粉末涂料生产项目《行政许可申请书》和黄山华泽环境科技有限公司编制的《黄山市沐颜粉末涂料有限公司热固性粉末涂料生产项目环境影响报告表》（以下简称《报告表》）悉。经组织专家技术函审，并在黄山市生态环境局网站公示，公众无异议。经研究，现对《报告表》批复如下：</w:t>
      </w:r>
    </w:p>
    <w:p>
      <w:pPr>
        <w:numPr>
          <w:ilvl w:val="0"/>
          <w:numId w:val="1"/>
        </w:numPr>
        <w:spacing w:line="560" w:lineRule="exact"/>
        <w:ind w:firstLine="640" w:firstLineChars="200"/>
        <w:rPr>
          <w:rFonts w:eastAsia="仿宋_GB2312"/>
          <w:color w:val="000000"/>
          <w:sz w:val="32"/>
          <w:szCs w:val="32"/>
          <w:lang w:val="zh-CN"/>
        </w:rPr>
      </w:pPr>
      <w:r>
        <w:rPr>
          <w:rFonts w:hint="eastAsia" w:eastAsia="仿宋_GB2312"/>
          <w:color w:val="000000"/>
          <w:sz w:val="32"/>
          <w:szCs w:val="32"/>
          <w:lang w:val="zh-CN"/>
        </w:rPr>
        <w:t>项目在</w:t>
      </w:r>
      <w:r>
        <w:rPr>
          <w:rFonts w:eastAsia="仿宋_GB2312"/>
          <w:color w:val="000000"/>
          <w:sz w:val="32"/>
          <w:szCs w:val="32"/>
        </w:rPr>
        <w:t>黄山徽州化工园区</w:t>
      </w:r>
      <w:r>
        <w:rPr>
          <w:rFonts w:hint="eastAsia" w:eastAsia="仿宋_GB2312"/>
          <w:color w:val="000000"/>
          <w:sz w:val="32"/>
          <w:szCs w:val="32"/>
          <w:lang w:val="zh-CN"/>
        </w:rPr>
        <w:t>租赁黄山市俊一工贸有限公司已有厂房建设（经度118度21分4.653秒，纬度29度49分32.911秒），总占地面积</w:t>
      </w:r>
      <w:r>
        <w:rPr>
          <w:rFonts w:hint="eastAsia" w:eastAsia="仿宋_GB2312"/>
          <w:color w:val="000000"/>
          <w:sz w:val="32"/>
          <w:szCs w:val="32"/>
        </w:rPr>
        <w:t>5.58亩</w:t>
      </w:r>
      <w:r>
        <w:rPr>
          <w:rFonts w:hint="eastAsia" w:eastAsia="仿宋_GB2312"/>
          <w:color w:val="000000"/>
          <w:sz w:val="32"/>
          <w:szCs w:val="32"/>
          <w:lang w:val="zh-CN"/>
        </w:rPr>
        <w:t>，总建筑面积</w:t>
      </w:r>
      <w:r>
        <w:rPr>
          <w:rFonts w:eastAsia="仿宋_GB2312"/>
          <w:color w:val="000000"/>
          <w:sz w:val="32"/>
          <w:szCs w:val="32"/>
        </w:rPr>
        <w:t>2516.45m</w:t>
      </w:r>
      <w:r>
        <w:rPr>
          <w:rFonts w:eastAsia="仿宋_GB2312"/>
          <w:color w:val="000000"/>
          <w:sz w:val="32"/>
          <w:szCs w:val="32"/>
          <w:vertAlign w:val="superscript"/>
        </w:rPr>
        <w:t>2</w:t>
      </w:r>
      <w:r>
        <w:rPr>
          <w:rFonts w:hint="eastAsia" w:eastAsia="仿宋_GB2312"/>
          <w:color w:val="000000"/>
          <w:sz w:val="32"/>
          <w:szCs w:val="32"/>
          <w:lang w:val="zh-CN"/>
        </w:rPr>
        <w:t>，总</w:t>
      </w:r>
      <w:r>
        <w:rPr>
          <w:rFonts w:eastAsia="仿宋_GB2312"/>
          <w:color w:val="000000"/>
          <w:sz w:val="32"/>
          <w:szCs w:val="32"/>
          <w:lang w:val="zh-CN"/>
        </w:rPr>
        <w:t>投资</w:t>
      </w:r>
      <w:r>
        <w:rPr>
          <w:rFonts w:hint="eastAsia" w:eastAsia="仿宋_GB2312"/>
          <w:color w:val="000000"/>
          <w:sz w:val="32"/>
          <w:szCs w:val="32"/>
        </w:rPr>
        <w:t>300</w:t>
      </w:r>
      <w:r>
        <w:rPr>
          <w:rFonts w:eastAsia="仿宋_GB2312"/>
          <w:color w:val="000000"/>
          <w:sz w:val="32"/>
          <w:szCs w:val="32"/>
          <w:lang w:val="zh-CN"/>
        </w:rPr>
        <w:t>万元，其中环保投资</w:t>
      </w:r>
      <w:r>
        <w:rPr>
          <w:rFonts w:hint="eastAsia" w:eastAsia="仿宋_GB2312"/>
          <w:color w:val="000000"/>
          <w:sz w:val="32"/>
          <w:szCs w:val="32"/>
        </w:rPr>
        <w:t>30</w:t>
      </w:r>
      <w:r>
        <w:rPr>
          <w:rFonts w:eastAsia="仿宋_GB2312"/>
          <w:color w:val="000000"/>
          <w:sz w:val="32"/>
          <w:szCs w:val="32"/>
          <w:lang w:val="zh-CN"/>
        </w:rPr>
        <w:t>万元</w:t>
      </w:r>
      <w:r>
        <w:rPr>
          <w:rFonts w:hint="eastAsia" w:eastAsia="仿宋_GB2312"/>
          <w:color w:val="000000"/>
          <w:sz w:val="32"/>
          <w:szCs w:val="32"/>
          <w:lang w:val="zh-CN"/>
        </w:rPr>
        <w:t>。设置</w:t>
      </w:r>
      <w:r>
        <w:rPr>
          <w:rFonts w:hint="eastAsia" w:eastAsia="仿宋_GB2312"/>
          <w:color w:val="000000"/>
          <w:sz w:val="32"/>
          <w:szCs w:val="32"/>
        </w:rPr>
        <w:t>一栋生产车间、一栋仓库，</w:t>
      </w:r>
      <w:r>
        <w:rPr>
          <w:rFonts w:hint="eastAsia" w:eastAsia="仿宋_GB2312"/>
          <w:color w:val="000000"/>
          <w:sz w:val="32"/>
          <w:szCs w:val="32"/>
          <w:lang w:val="zh-CN"/>
        </w:rPr>
        <w:t>配置混料机、挤出机、压片机、研磨机等生产设备，</w:t>
      </w:r>
      <w:r>
        <w:rPr>
          <w:rFonts w:hint="eastAsia" w:eastAsia="仿宋_GB2312"/>
          <w:color w:val="000000"/>
          <w:sz w:val="32"/>
          <w:szCs w:val="32"/>
        </w:rPr>
        <w:t>扩建7条生产线，</w:t>
      </w:r>
      <w:r>
        <w:rPr>
          <w:rFonts w:hint="eastAsia" w:eastAsia="仿宋_GB2312"/>
          <w:color w:val="000000"/>
          <w:sz w:val="32"/>
          <w:szCs w:val="32"/>
          <w:lang w:val="zh-CN"/>
        </w:rPr>
        <w:t>依托原有及配套新建相应的环保设施、环境风险防范措施以及公用、辅助、储运等设施，</w:t>
      </w:r>
      <w:r>
        <w:rPr>
          <w:rFonts w:eastAsia="仿宋_GB2312"/>
          <w:color w:val="000000"/>
          <w:sz w:val="32"/>
          <w:szCs w:val="32"/>
          <w:lang w:val="zh-CN"/>
        </w:rPr>
        <w:t>年产</w:t>
      </w:r>
      <w:r>
        <w:rPr>
          <w:rFonts w:hint="eastAsia" w:eastAsia="仿宋_GB2312"/>
          <w:color w:val="000000"/>
          <w:sz w:val="32"/>
          <w:szCs w:val="32"/>
        </w:rPr>
        <w:t>3000</w:t>
      </w:r>
      <w:r>
        <w:rPr>
          <w:rFonts w:eastAsia="仿宋_GB2312"/>
          <w:color w:val="000000"/>
          <w:sz w:val="32"/>
          <w:szCs w:val="32"/>
          <w:lang w:val="zh-CN"/>
        </w:rPr>
        <w:t>吨</w:t>
      </w:r>
      <w:r>
        <w:rPr>
          <w:rFonts w:hint="eastAsia" w:eastAsia="仿宋_GB2312"/>
          <w:color w:val="000000"/>
          <w:sz w:val="32"/>
          <w:szCs w:val="32"/>
        </w:rPr>
        <w:t>热固性粉末涂料</w:t>
      </w:r>
      <w:r>
        <w:rPr>
          <w:rFonts w:hint="eastAsia" w:eastAsia="仿宋_GB2312"/>
          <w:color w:val="000000"/>
          <w:sz w:val="32"/>
          <w:szCs w:val="32"/>
          <w:lang w:val="zh-CN"/>
        </w:rPr>
        <w:t>。项目</w:t>
      </w:r>
      <w:r>
        <w:rPr>
          <w:rFonts w:hint="eastAsia" w:eastAsia="仿宋_GB2312"/>
          <w:color w:val="000000"/>
          <w:sz w:val="32"/>
          <w:szCs w:val="32"/>
        </w:rPr>
        <w:t>扩建后</w:t>
      </w:r>
      <w:r>
        <w:rPr>
          <w:rFonts w:hint="eastAsia" w:eastAsia="仿宋_GB2312"/>
          <w:color w:val="000000"/>
          <w:sz w:val="32"/>
          <w:szCs w:val="32"/>
          <w:lang w:val="zh-CN"/>
        </w:rPr>
        <w:t>，形成</w:t>
      </w:r>
      <w:r>
        <w:rPr>
          <w:rFonts w:hint="eastAsia" w:eastAsia="仿宋_GB2312"/>
          <w:color w:val="000000"/>
          <w:sz w:val="32"/>
          <w:szCs w:val="32"/>
        </w:rPr>
        <w:t>10条生产线，</w:t>
      </w:r>
      <w:r>
        <w:rPr>
          <w:rFonts w:hint="eastAsia" w:eastAsia="仿宋_GB2312"/>
          <w:color w:val="000000"/>
          <w:sz w:val="32"/>
          <w:szCs w:val="32"/>
          <w:lang w:val="zh-CN"/>
        </w:rPr>
        <w:t>年产</w:t>
      </w:r>
      <w:r>
        <w:rPr>
          <w:rFonts w:hint="eastAsia" w:eastAsia="仿宋_GB2312"/>
          <w:color w:val="000000"/>
          <w:sz w:val="32"/>
          <w:szCs w:val="32"/>
        </w:rPr>
        <w:t>5000</w:t>
      </w:r>
      <w:r>
        <w:rPr>
          <w:rFonts w:eastAsia="仿宋_GB2312"/>
          <w:color w:val="000000"/>
          <w:sz w:val="32"/>
          <w:szCs w:val="32"/>
          <w:lang w:val="zh-CN"/>
        </w:rPr>
        <w:t>吨</w:t>
      </w:r>
      <w:r>
        <w:rPr>
          <w:rFonts w:hint="eastAsia" w:eastAsia="仿宋_GB2312"/>
          <w:color w:val="000000"/>
          <w:sz w:val="32"/>
          <w:szCs w:val="32"/>
        </w:rPr>
        <w:t>热固性粉末涂料。</w:t>
      </w:r>
    </w:p>
    <w:p>
      <w:pPr>
        <w:widowControl/>
        <w:shd w:val="clear" w:color="auto" w:fill="FFFFFF"/>
        <w:adjustRightInd w:val="0"/>
        <w:snapToGrid w:val="0"/>
        <w:spacing w:line="560" w:lineRule="exact"/>
        <w:ind w:firstLine="640" w:firstLineChars="200"/>
        <w:rPr>
          <w:rFonts w:eastAsia="仿宋_GB2312"/>
          <w:color w:val="000000"/>
          <w:sz w:val="32"/>
          <w:szCs w:val="32"/>
          <w:lang w:val="zh-CN"/>
        </w:rPr>
      </w:pPr>
      <w:r>
        <w:rPr>
          <w:rFonts w:hint="eastAsia" w:eastAsia="仿宋_GB2312"/>
          <w:color w:val="000000"/>
          <w:sz w:val="32"/>
          <w:szCs w:val="32"/>
          <w:lang w:val="zh-CN"/>
        </w:rPr>
        <w:t>二、从生态环境保护角度，我局同意你公司按《报告表》所列建设项目的性质、规模、地点、采用的生产工艺和拟采取的各项环境保护措施进行建设，并重点做好以下工作：</w:t>
      </w:r>
    </w:p>
    <w:p>
      <w:pPr>
        <w:spacing w:line="560" w:lineRule="exact"/>
        <w:ind w:firstLine="640" w:firstLineChars="200"/>
        <w:rPr>
          <w:rFonts w:eastAsia="仿宋_GB2312"/>
          <w:sz w:val="32"/>
          <w:szCs w:val="32"/>
        </w:rPr>
      </w:pPr>
      <w:r>
        <w:rPr>
          <w:rFonts w:eastAsia="仿宋_GB2312"/>
          <w:sz w:val="32"/>
          <w:szCs w:val="32"/>
        </w:rPr>
        <w:t>1. 项目应按照“以新带老”的原则，对</w:t>
      </w:r>
      <w:r>
        <w:rPr>
          <w:rFonts w:hint="eastAsia" w:eastAsia="仿宋_GB2312"/>
          <w:sz w:val="32"/>
          <w:szCs w:val="32"/>
        </w:rPr>
        <w:t>厂区</w:t>
      </w:r>
      <w:r>
        <w:rPr>
          <w:rFonts w:eastAsia="仿宋_GB2312"/>
          <w:sz w:val="32"/>
          <w:szCs w:val="32"/>
        </w:rPr>
        <w:t>所有已建内容进行排查，对存在的环境问题和《报告</w:t>
      </w:r>
      <w:r>
        <w:rPr>
          <w:rFonts w:hint="eastAsia" w:eastAsia="仿宋_GB2312"/>
          <w:sz w:val="32"/>
          <w:szCs w:val="32"/>
        </w:rPr>
        <w:t>表</w:t>
      </w:r>
      <w:r>
        <w:rPr>
          <w:rFonts w:eastAsia="仿宋_GB2312"/>
          <w:sz w:val="32"/>
          <w:szCs w:val="32"/>
        </w:rPr>
        <w:t>》中明确的现有工程存在环境问题进行整改达到现行环境管理要求，并纳入本项目验收范围。</w:t>
      </w:r>
    </w:p>
    <w:p>
      <w:pPr>
        <w:widowControl/>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落实地表水环境保护措施。项目排水系统应实行雨污分流，污水管网须管廊架空布设，对原有的雨、污水管网和应急导流管网系统进行全面排查，对于不符合要求及不能利用的管网，按规范要求新建，确保</w:t>
      </w:r>
      <w:r>
        <w:rPr>
          <w:rFonts w:hint="eastAsia" w:eastAsia="仿宋_GB2312"/>
          <w:sz w:val="32"/>
          <w:szCs w:val="32"/>
        </w:rPr>
        <w:t>厂区</w:t>
      </w:r>
      <w:r>
        <w:rPr>
          <w:rFonts w:eastAsia="仿宋_GB2312"/>
          <w:sz w:val="32"/>
          <w:szCs w:val="32"/>
        </w:rPr>
        <w:t>雨污分流、初期雨水的收集及应急导流管网系统的畅通。</w:t>
      </w:r>
      <w:r>
        <w:rPr>
          <w:rFonts w:hint="eastAsia" w:eastAsia="仿宋_GB2312"/>
          <w:sz w:val="32"/>
          <w:szCs w:val="32"/>
        </w:rPr>
        <w:t>项目设备、地面清洗废水、间接循环冷却更换废水、初期雨水经10m</w:t>
      </w:r>
      <w:r>
        <w:rPr>
          <w:rFonts w:hint="eastAsia" w:eastAsia="仿宋_GB2312"/>
          <w:sz w:val="32"/>
          <w:szCs w:val="32"/>
          <w:vertAlign w:val="superscript"/>
        </w:rPr>
        <w:t>3</w:t>
      </w:r>
      <w:r>
        <w:rPr>
          <w:rFonts w:hint="eastAsia" w:eastAsia="仿宋_GB2312"/>
          <w:sz w:val="32"/>
          <w:szCs w:val="32"/>
        </w:rPr>
        <w:t>沉淀池预处理，生活污水经隔油池、化粪池预处理，废水中pH、色度、COD、氨氮、BOD</w:t>
      </w:r>
      <w:r>
        <w:rPr>
          <w:rFonts w:hint="eastAsia" w:eastAsia="仿宋_GB2312"/>
          <w:sz w:val="32"/>
          <w:szCs w:val="32"/>
          <w:vertAlign w:val="subscript"/>
        </w:rPr>
        <w:t>5</w:t>
      </w:r>
      <w:r>
        <w:rPr>
          <w:rFonts w:hint="eastAsia" w:eastAsia="仿宋_GB2312"/>
          <w:sz w:val="32"/>
          <w:szCs w:val="32"/>
        </w:rPr>
        <w:t>、SS、总氮、总磷、总有机碳等达到园区接管协议限值后排入园区污水处理厂，再经园区污水处理厂处理达到《污水综合排放标准》(GB8978-1996)表4中三级标准后，排入徽州区污水处理厂。废水按要求建设规范化排污口。</w:t>
      </w:r>
    </w:p>
    <w:p>
      <w:pPr>
        <w:widowControl/>
        <w:spacing w:line="560" w:lineRule="exact"/>
        <w:ind w:firstLine="640" w:firstLineChars="200"/>
        <w:rPr>
          <w:rFonts w:eastAsia="仿宋_GB2312"/>
          <w:color w:val="000000"/>
          <w:sz w:val="32"/>
          <w:szCs w:val="32"/>
          <w:lang w:val="zh-CN"/>
        </w:rPr>
      </w:pPr>
      <w:r>
        <w:rPr>
          <w:rFonts w:eastAsia="仿宋_GB2312"/>
          <w:sz w:val="32"/>
          <w:szCs w:val="32"/>
        </w:rPr>
        <w:t>3.</w:t>
      </w:r>
      <w:r>
        <w:rPr>
          <w:rFonts w:eastAsia="仿宋_GB2312"/>
          <w:color w:val="000000"/>
          <w:sz w:val="32"/>
          <w:szCs w:val="32"/>
        </w:rPr>
        <w:t>落实大气污染</w:t>
      </w:r>
      <w:r>
        <w:rPr>
          <w:rFonts w:eastAsia="仿宋_GB2312"/>
          <w:sz w:val="32"/>
          <w:szCs w:val="32"/>
        </w:rPr>
        <w:t>防治</w:t>
      </w:r>
      <w:r>
        <w:rPr>
          <w:rFonts w:eastAsia="仿宋_GB2312"/>
          <w:color w:val="000000"/>
          <w:sz w:val="32"/>
          <w:szCs w:val="32"/>
        </w:rPr>
        <w:t>措施。项目应确保所在区域环境空气质量达到《环境空气质量标准》（GB 3095-2012）及2018年修改单中规定的二级浓度限值，非甲烷总烃参照执行《大气污染物综合排放量标准详解》中的推荐值标准</w:t>
      </w:r>
      <w:r>
        <w:rPr>
          <w:rFonts w:hint="eastAsia" w:eastAsia="仿宋_GB2312"/>
          <w:color w:val="000000"/>
          <w:sz w:val="32"/>
          <w:szCs w:val="32"/>
        </w:rPr>
        <w:t>，TVOC</w:t>
      </w:r>
      <w:r>
        <w:rPr>
          <w:rFonts w:eastAsia="仿宋_GB2312"/>
          <w:color w:val="000000"/>
          <w:sz w:val="32"/>
          <w:szCs w:val="32"/>
        </w:rPr>
        <w:t>执行《环境影响评级技术导则 大气环境》（HJ2.2-2018）附录D中的质量浓度参考限值</w:t>
      </w:r>
      <w:r>
        <w:rPr>
          <w:rFonts w:hint="eastAsia" w:eastAsia="仿宋_GB2312"/>
          <w:color w:val="000000"/>
          <w:sz w:val="32"/>
          <w:szCs w:val="32"/>
        </w:rPr>
        <w:t>。生产产生的各种废气应收集处理，VOCs物料输送、生产等过程设备密闭或空间密闭，物料设置封闭投粉站投料，</w:t>
      </w:r>
      <w:r>
        <w:rPr>
          <w:rFonts w:eastAsia="仿宋_GB2312"/>
          <w:color w:val="000000"/>
          <w:sz w:val="32"/>
          <w:szCs w:val="32"/>
        </w:rPr>
        <w:t>投粉站</w:t>
      </w:r>
      <w:r>
        <w:rPr>
          <w:rFonts w:hint="eastAsia" w:eastAsia="仿宋_GB2312"/>
          <w:color w:val="000000"/>
          <w:sz w:val="32"/>
          <w:szCs w:val="32"/>
        </w:rPr>
        <w:t>废气</w:t>
      </w:r>
      <w:r>
        <w:rPr>
          <w:rFonts w:eastAsia="仿宋_GB2312"/>
          <w:color w:val="000000"/>
          <w:sz w:val="32"/>
          <w:szCs w:val="32"/>
        </w:rPr>
        <w:t>经密闭负压</w:t>
      </w:r>
      <w:r>
        <w:rPr>
          <w:rFonts w:hint="eastAsia" w:eastAsia="仿宋_GB2312"/>
          <w:color w:val="000000"/>
          <w:sz w:val="32"/>
          <w:szCs w:val="32"/>
        </w:rPr>
        <w:t>收集、投料、打样</w:t>
      </w:r>
      <w:r>
        <w:rPr>
          <w:rFonts w:hint="eastAsia" w:eastAsia="仿宋_GB2312"/>
          <w:color w:val="000000"/>
          <w:sz w:val="32"/>
          <w:szCs w:val="32"/>
          <w:lang w:val="zh-CN"/>
        </w:rPr>
        <w:t>喷粉</w:t>
      </w:r>
      <w:r>
        <w:rPr>
          <w:rFonts w:hint="eastAsia" w:eastAsia="仿宋_GB2312"/>
          <w:color w:val="000000"/>
          <w:sz w:val="32"/>
          <w:szCs w:val="32"/>
        </w:rPr>
        <w:t>粉尘采用封闭式集气罩</w:t>
      </w:r>
      <w:r>
        <w:rPr>
          <w:rFonts w:eastAsia="仿宋_GB2312"/>
          <w:color w:val="000000"/>
          <w:sz w:val="32"/>
          <w:szCs w:val="32"/>
        </w:rPr>
        <w:t>收集</w:t>
      </w:r>
      <w:r>
        <w:rPr>
          <w:rFonts w:hint="eastAsia" w:eastAsia="仿宋_GB2312"/>
          <w:color w:val="000000"/>
          <w:sz w:val="32"/>
          <w:szCs w:val="32"/>
        </w:rPr>
        <w:t>后经1套布袋除尘器处理后通过不低于15m高排气筒排放；研磨粉尘采用密闭管道收集、包装粉尘采用软帘集气罩负压收集后分别经10套布袋除尘器处理后通过不低于15m高排气筒排放；密闭集气罩收集的挤出废气、打样烘烤废气、密闭管道负压收集的</w:t>
      </w:r>
      <w:r>
        <w:rPr>
          <w:rFonts w:hint="eastAsia" w:eastAsia="仿宋_GB2312"/>
          <w:color w:val="000000"/>
          <w:sz w:val="32"/>
          <w:szCs w:val="32"/>
          <w:lang w:val="zh-CN"/>
        </w:rPr>
        <w:t>危废储存间废气</w:t>
      </w:r>
      <w:r>
        <w:rPr>
          <w:rFonts w:hint="eastAsia" w:eastAsia="仿宋_GB2312"/>
          <w:color w:val="000000"/>
          <w:sz w:val="32"/>
          <w:szCs w:val="32"/>
        </w:rPr>
        <w:t>经一套“两级活性炭吸附装置”处理后通过不低于15m高排气筒排放。</w:t>
      </w:r>
      <w:r>
        <w:rPr>
          <w:rFonts w:eastAsia="仿宋_GB2312"/>
          <w:color w:val="000000"/>
          <w:sz w:val="32"/>
          <w:szCs w:val="32"/>
        </w:rPr>
        <w:t>项目应当定期更换活性炭，做到挥发性有机废气稳定达标排放。项目生产的涂料应符合《低挥发性有机化合物含量涂料产品技术要求》（GB/T38597-2020）</w:t>
      </w:r>
      <w:r>
        <w:rPr>
          <w:rFonts w:hint="eastAsia" w:eastAsia="仿宋_GB2312"/>
          <w:color w:val="000000"/>
          <w:sz w:val="32"/>
          <w:szCs w:val="32"/>
        </w:rPr>
        <w:t>。项目</w:t>
      </w:r>
      <w:r>
        <w:rPr>
          <w:rFonts w:eastAsia="仿宋_GB2312"/>
          <w:color w:val="000000"/>
          <w:sz w:val="32"/>
          <w:szCs w:val="32"/>
        </w:rPr>
        <w:t>非甲烷总烃、颗粒物</w:t>
      </w:r>
      <w:r>
        <w:rPr>
          <w:rFonts w:hint="eastAsia" w:eastAsia="仿宋_GB2312"/>
          <w:color w:val="000000"/>
          <w:sz w:val="32"/>
          <w:szCs w:val="32"/>
        </w:rPr>
        <w:t>、TVOC等</w:t>
      </w:r>
      <w:r>
        <w:rPr>
          <w:rFonts w:eastAsia="仿宋_GB2312"/>
          <w:color w:val="000000"/>
          <w:sz w:val="32"/>
          <w:szCs w:val="32"/>
        </w:rPr>
        <w:t>排放</w:t>
      </w:r>
      <w:r>
        <w:rPr>
          <w:rFonts w:hint="eastAsia" w:eastAsia="仿宋_GB2312"/>
          <w:color w:val="000000"/>
          <w:sz w:val="32"/>
          <w:szCs w:val="32"/>
        </w:rPr>
        <w:t>应达到</w:t>
      </w:r>
      <w:r>
        <w:rPr>
          <w:rFonts w:eastAsia="仿宋_GB2312"/>
          <w:color w:val="000000"/>
          <w:sz w:val="32"/>
          <w:szCs w:val="32"/>
        </w:rPr>
        <w:t>《</w:t>
      </w:r>
      <w:r>
        <w:rPr>
          <w:rFonts w:hint="eastAsia" w:eastAsia="仿宋_GB2312"/>
          <w:color w:val="000000"/>
          <w:sz w:val="32"/>
          <w:szCs w:val="32"/>
        </w:rPr>
        <w:t>涂料、油墨及胶粘剂工业大气</w:t>
      </w:r>
      <w:r>
        <w:rPr>
          <w:rFonts w:eastAsia="仿宋_GB2312"/>
          <w:color w:val="000000"/>
          <w:sz w:val="32"/>
          <w:szCs w:val="32"/>
        </w:rPr>
        <w:t>污染物排放标准》（GB3</w:t>
      </w:r>
      <w:r>
        <w:rPr>
          <w:rFonts w:hint="eastAsia" w:eastAsia="仿宋_GB2312"/>
          <w:color w:val="000000"/>
          <w:sz w:val="32"/>
          <w:szCs w:val="32"/>
        </w:rPr>
        <w:t>78</w:t>
      </w:r>
      <w:r>
        <w:rPr>
          <w:rFonts w:eastAsia="仿宋_GB2312"/>
          <w:color w:val="000000"/>
          <w:sz w:val="32"/>
          <w:szCs w:val="32"/>
        </w:rPr>
        <w:t>2</w:t>
      </w:r>
      <w:r>
        <w:rPr>
          <w:rFonts w:hint="eastAsia" w:eastAsia="仿宋_GB2312"/>
          <w:color w:val="000000"/>
          <w:sz w:val="32"/>
          <w:szCs w:val="32"/>
        </w:rPr>
        <w:t>4</w:t>
      </w:r>
      <w:r>
        <w:rPr>
          <w:rFonts w:eastAsia="仿宋_GB2312"/>
          <w:color w:val="000000"/>
          <w:sz w:val="32"/>
          <w:szCs w:val="32"/>
        </w:rPr>
        <w:t>-201</w:t>
      </w:r>
      <w:r>
        <w:rPr>
          <w:rFonts w:hint="eastAsia" w:eastAsia="仿宋_GB2312"/>
          <w:color w:val="000000"/>
          <w:sz w:val="32"/>
          <w:szCs w:val="32"/>
        </w:rPr>
        <w:t>9</w:t>
      </w:r>
      <w:r>
        <w:rPr>
          <w:rFonts w:eastAsia="仿宋_GB2312"/>
          <w:color w:val="000000"/>
          <w:sz w:val="32"/>
          <w:szCs w:val="32"/>
        </w:rPr>
        <w:t>）表</w:t>
      </w:r>
      <w:r>
        <w:rPr>
          <w:rFonts w:hint="eastAsia" w:eastAsia="仿宋_GB2312"/>
          <w:color w:val="000000"/>
          <w:sz w:val="32"/>
          <w:szCs w:val="32"/>
        </w:rPr>
        <w:t>2</w:t>
      </w:r>
      <w:r>
        <w:rPr>
          <w:rFonts w:eastAsia="仿宋_GB2312"/>
          <w:color w:val="000000"/>
          <w:sz w:val="32"/>
          <w:szCs w:val="32"/>
        </w:rPr>
        <w:t>中特别排放限值</w:t>
      </w:r>
      <w:r>
        <w:rPr>
          <w:rFonts w:hint="eastAsia" w:eastAsia="仿宋_GB2312"/>
          <w:color w:val="000000"/>
          <w:sz w:val="32"/>
          <w:szCs w:val="32"/>
        </w:rPr>
        <w:t>及有组织、无组织排放各项管控要求，臭气浓度</w:t>
      </w:r>
      <w:r>
        <w:rPr>
          <w:rFonts w:hint="eastAsia" w:eastAsia="仿宋_GB2312"/>
          <w:color w:val="000000"/>
          <w:sz w:val="32"/>
          <w:szCs w:val="32"/>
          <w:lang w:val="zh-CN"/>
        </w:rPr>
        <w:t>排放执行《恶臭污染物排放标准》（GB14554-1993）表</w:t>
      </w:r>
      <w:r>
        <w:rPr>
          <w:rFonts w:hint="eastAsia" w:eastAsia="仿宋_GB2312"/>
          <w:color w:val="000000"/>
          <w:sz w:val="32"/>
          <w:szCs w:val="32"/>
        </w:rPr>
        <w:t>2中</w:t>
      </w:r>
      <w:r>
        <w:rPr>
          <w:rFonts w:hint="eastAsia" w:eastAsia="仿宋_GB2312"/>
          <w:color w:val="000000"/>
          <w:sz w:val="32"/>
          <w:szCs w:val="32"/>
          <w:lang w:val="zh-CN"/>
        </w:rPr>
        <w:t>二级标准新改扩建限值</w:t>
      </w:r>
      <w:r>
        <w:rPr>
          <w:rFonts w:hint="eastAsia" w:eastAsia="仿宋_GB2312"/>
          <w:color w:val="000000"/>
          <w:sz w:val="32"/>
          <w:szCs w:val="32"/>
        </w:rPr>
        <w:t>及</w:t>
      </w:r>
      <w:r>
        <w:rPr>
          <w:rFonts w:hint="eastAsia" w:eastAsia="仿宋_GB2312"/>
          <w:color w:val="000000"/>
          <w:sz w:val="32"/>
          <w:szCs w:val="32"/>
          <w:lang w:val="zh-CN"/>
        </w:rPr>
        <w:t>表</w:t>
      </w:r>
      <w:r>
        <w:rPr>
          <w:rFonts w:hint="eastAsia" w:eastAsia="仿宋_GB2312"/>
          <w:color w:val="000000"/>
          <w:sz w:val="32"/>
          <w:szCs w:val="32"/>
        </w:rPr>
        <w:t>1中厂界标准值</w:t>
      </w:r>
      <w:r>
        <w:rPr>
          <w:rFonts w:hint="eastAsia" w:eastAsia="仿宋_GB2312"/>
          <w:color w:val="000000"/>
          <w:sz w:val="32"/>
          <w:szCs w:val="32"/>
          <w:lang w:val="zh-CN"/>
        </w:rPr>
        <w:t>，</w:t>
      </w:r>
      <w:r>
        <w:rPr>
          <w:rFonts w:hint="eastAsia" w:eastAsia="仿宋_GB2312"/>
          <w:color w:val="000000"/>
          <w:sz w:val="32"/>
          <w:szCs w:val="32"/>
        </w:rPr>
        <w:t>厂区内挥发性有机物无组织排放浓度应达到《涂料、油墨及胶粘剂工业大气污染物排放标准》（GB37824-2019）附录B表B.1中无组织排放限值要求；</w:t>
      </w:r>
      <w:r>
        <w:rPr>
          <w:rFonts w:eastAsia="仿宋_GB2312"/>
          <w:color w:val="000000"/>
          <w:sz w:val="32"/>
          <w:szCs w:val="32"/>
        </w:rPr>
        <w:t>非甲烷总烃</w:t>
      </w:r>
      <w:r>
        <w:rPr>
          <w:rFonts w:hint="eastAsia" w:eastAsia="仿宋_GB2312"/>
          <w:color w:val="000000"/>
          <w:sz w:val="32"/>
          <w:szCs w:val="32"/>
        </w:rPr>
        <w:t>无组织排放应达到《挥发性有机物无组织排放控制标准》（</w:t>
      </w:r>
      <w:r>
        <w:rPr>
          <w:rFonts w:eastAsia="仿宋_GB2312"/>
          <w:color w:val="000000"/>
          <w:sz w:val="32"/>
          <w:szCs w:val="32"/>
        </w:rPr>
        <w:t>GB</w:t>
      </w:r>
      <w:r>
        <w:rPr>
          <w:rFonts w:hint="eastAsia" w:eastAsia="仿宋_GB2312"/>
          <w:color w:val="000000"/>
          <w:sz w:val="32"/>
          <w:szCs w:val="32"/>
        </w:rPr>
        <w:t>37822-2019）要求。</w:t>
      </w:r>
      <w:r>
        <w:rPr>
          <w:rFonts w:hint="eastAsia" w:eastAsia="仿宋_GB2312"/>
          <w:color w:val="000000"/>
          <w:sz w:val="32"/>
          <w:szCs w:val="32"/>
          <w:lang w:val="zh-CN"/>
        </w:rPr>
        <w:t>待《固定源挥发性有机物综合排放标准 第1部分：涂料、油墨及胶粘剂工业》（DB34/4812.1-2024）正式发布后，项目执行《固定源挥发性有机物综合排放标准 第1部分：涂料、油墨及胶粘剂工业》（DB34/4812.1-2024）中的相关标准限值及管控要求。</w:t>
      </w:r>
    </w:p>
    <w:p>
      <w:pPr>
        <w:widowControl/>
        <w:shd w:val="clear" w:color="auto" w:fill="FFFFFF"/>
        <w:adjustRightInd w:val="0"/>
        <w:snapToGrid w:val="0"/>
        <w:spacing w:line="560" w:lineRule="exact"/>
        <w:ind w:firstLine="420"/>
        <w:rPr>
          <w:rFonts w:eastAsia="仿宋_GB2312"/>
          <w:color w:val="000000"/>
          <w:sz w:val="32"/>
          <w:szCs w:val="32"/>
          <w:lang w:val="zh-CN"/>
        </w:rPr>
      </w:pPr>
      <w:r>
        <w:rPr>
          <w:rFonts w:hint="eastAsia" w:eastAsia="仿宋_GB2312"/>
          <w:color w:val="000000"/>
          <w:sz w:val="32"/>
          <w:szCs w:val="32"/>
          <w:lang w:val="zh-CN"/>
        </w:rPr>
        <w:t>东厂界外98m范围、南厂界外95m范围、西厂界外95m范围、北厂界外57m范围为公司的环境防护距离。该环境防护距离范围内不得有医院、学校、居民住宅、食品企业等环境敏感建筑物。</w:t>
      </w:r>
    </w:p>
    <w:p>
      <w:pPr>
        <w:widowControl/>
        <w:snapToGrid w:val="0"/>
        <w:spacing w:line="560" w:lineRule="exact"/>
        <w:ind w:firstLine="640" w:firstLineChars="200"/>
        <w:rPr>
          <w:rFonts w:eastAsia="仿宋_GB2312"/>
          <w:sz w:val="32"/>
          <w:szCs w:val="32"/>
        </w:rPr>
      </w:pPr>
      <w:r>
        <w:rPr>
          <w:rFonts w:eastAsia="仿宋_GB2312"/>
          <w:sz w:val="32"/>
          <w:szCs w:val="32"/>
        </w:rPr>
        <w:t>4.做好固体废物污染防治工作。建立健全工业固体废物产生、收集、贮存、运输、利用、处置全过程的污染环境防治责任制度，建立工业固体废物管理台账，按规定建设工业固废贮存场所，采取防治工业固体废物污染环境的措施。</w:t>
      </w:r>
      <w:r>
        <w:rPr>
          <w:rFonts w:hint="eastAsia" w:eastAsia="仿宋_GB2312"/>
          <w:color w:val="000000"/>
          <w:sz w:val="32"/>
          <w:szCs w:val="32"/>
          <w:lang w:val="zh-CN"/>
        </w:rPr>
        <w:t>对废机油、废机油空桶、废活性炭、沉淀池底泥及废包装</w:t>
      </w:r>
      <w:r>
        <w:rPr>
          <w:rFonts w:hint="eastAsia" w:eastAsia="仿宋_GB2312"/>
          <w:color w:val="000000"/>
          <w:sz w:val="32"/>
          <w:szCs w:val="32"/>
        </w:rPr>
        <w:t>内</w:t>
      </w:r>
      <w:r>
        <w:rPr>
          <w:rFonts w:hint="eastAsia" w:eastAsia="仿宋_GB2312"/>
          <w:color w:val="000000"/>
          <w:sz w:val="32"/>
          <w:szCs w:val="32"/>
          <w:lang w:val="zh-CN"/>
        </w:rPr>
        <w:t>袋等危险废物</w:t>
      </w:r>
      <w:r>
        <w:rPr>
          <w:rFonts w:eastAsia="仿宋_GB2312"/>
          <w:sz w:val="32"/>
          <w:szCs w:val="32"/>
        </w:rPr>
        <w:t>必须按照《中华人民共和国固体废物污染环境防治法》中的特别规定和《危险废物贮存污染控制标准》（GB18597-2023）的要求，配套专用危险废物临时储存设施，配备专用储存容器进行收集，委托有资质的专业机构对其进行处置，并做好处置记录，不得随意处置；应制定危险废物管理计划，并将管理计划及危险废物管理有关资料向环境保护行政主管部门申报、备案。</w:t>
      </w:r>
    </w:p>
    <w:p>
      <w:pPr>
        <w:widowControl/>
        <w:snapToGrid w:val="0"/>
        <w:spacing w:line="560" w:lineRule="exact"/>
        <w:ind w:firstLine="640" w:firstLineChars="200"/>
        <w:rPr>
          <w:rFonts w:eastAsia="仿宋_GB2312"/>
          <w:sz w:val="32"/>
          <w:szCs w:val="32"/>
        </w:rPr>
      </w:pPr>
      <w:r>
        <w:rPr>
          <w:rFonts w:eastAsia="仿宋_GB2312"/>
          <w:sz w:val="32"/>
          <w:szCs w:val="32"/>
        </w:rPr>
        <w:t>5.做好地下水、土壤污染防治工作。项目应对已经建设的内容进行排查，落实《报告</w:t>
      </w:r>
      <w:r>
        <w:rPr>
          <w:rFonts w:hint="eastAsia" w:eastAsia="仿宋_GB2312"/>
          <w:sz w:val="32"/>
          <w:szCs w:val="32"/>
        </w:rPr>
        <w:t>表</w:t>
      </w:r>
      <w:r>
        <w:rPr>
          <w:rFonts w:eastAsia="仿宋_GB2312"/>
          <w:sz w:val="32"/>
          <w:szCs w:val="32"/>
        </w:rPr>
        <w:t>》中分区防渗重点污染防治区防渗措施和其它区域的一般防渗措施，定期对地下水水质监测，确保地下水环境质量达到《地下水质量标准》（GB/T 14848-2017）中的</w:t>
      </w:r>
      <w:r>
        <w:rPr>
          <w:rFonts w:hint="eastAsia" w:ascii="宋体" w:hAnsi="宋体" w:cs="宋体"/>
          <w:sz w:val="32"/>
          <w:szCs w:val="32"/>
        </w:rPr>
        <w:t>Ⅲ</w:t>
      </w:r>
      <w:r>
        <w:rPr>
          <w:rFonts w:eastAsia="仿宋_GB2312"/>
          <w:sz w:val="32"/>
          <w:szCs w:val="32"/>
        </w:rPr>
        <w:t>类标准，建设用地</w:t>
      </w:r>
      <w:r>
        <w:rPr>
          <w:rFonts w:hint="eastAsia" w:eastAsia="仿宋_GB2312"/>
          <w:sz w:val="32"/>
          <w:szCs w:val="32"/>
        </w:rPr>
        <w:t>土壤满足</w:t>
      </w:r>
      <w:r>
        <w:rPr>
          <w:rFonts w:eastAsia="仿宋_GB2312"/>
          <w:sz w:val="32"/>
          <w:szCs w:val="32"/>
        </w:rPr>
        <w:t>《土壤环境质量 建设用地土壤污染风险管控标准（试行）》（GB 36600-2018）表1中第二类用地筛选值标准，防止地下水、土壤受到污染，确保项目区域的地下水、土壤环境质量不降低。</w:t>
      </w:r>
    </w:p>
    <w:p>
      <w:pPr>
        <w:spacing w:line="560" w:lineRule="exact"/>
        <w:ind w:firstLine="640" w:firstLineChars="200"/>
        <w:rPr>
          <w:rFonts w:eastAsia="仿宋_GB2312"/>
          <w:color w:val="000000"/>
          <w:sz w:val="32"/>
          <w:szCs w:val="32"/>
        </w:rPr>
      </w:pPr>
      <w:r>
        <w:rPr>
          <w:rFonts w:eastAsia="仿宋_GB2312"/>
          <w:sz w:val="32"/>
          <w:szCs w:val="32"/>
        </w:rPr>
        <w:t>6.落实噪声污染防治措施。</w:t>
      </w:r>
      <w:r>
        <w:rPr>
          <w:rFonts w:eastAsia="仿宋_GB2312"/>
          <w:color w:val="000000"/>
          <w:sz w:val="32"/>
          <w:szCs w:val="32"/>
        </w:rPr>
        <w:t>优先选用低噪声设备，对各类噪声源采取必要的隔声、减震、消声、降噪措施，确保项目生产过程中厂界噪声符合《工业企业厂界环境噪声排放标准》（GB12348</w:t>
      </w:r>
      <w:r>
        <w:rPr>
          <w:rFonts w:hint="eastAsia" w:eastAsia="仿宋_GB2312"/>
          <w:color w:val="000000"/>
          <w:sz w:val="32"/>
          <w:szCs w:val="32"/>
        </w:rPr>
        <w:t>-</w:t>
      </w:r>
      <w:r>
        <w:rPr>
          <w:rFonts w:eastAsia="仿宋_GB2312"/>
          <w:color w:val="000000"/>
          <w:sz w:val="32"/>
          <w:szCs w:val="32"/>
        </w:rPr>
        <w:t>2008）中3类标准。</w:t>
      </w:r>
    </w:p>
    <w:p>
      <w:pPr>
        <w:widowControl/>
        <w:snapToGrid w:val="0"/>
        <w:spacing w:line="560" w:lineRule="exact"/>
        <w:ind w:firstLine="640" w:firstLineChars="200"/>
        <w:rPr>
          <w:rFonts w:eastAsia="仿宋_GB2312"/>
          <w:sz w:val="32"/>
          <w:szCs w:val="32"/>
        </w:rPr>
      </w:pPr>
      <w:r>
        <w:rPr>
          <w:rFonts w:eastAsia="仿宋_GB2312"/>
          <w:sz w:val="32"/>
          <w:szCs w:val="32"/>
        </w:rPr>
        <w:t>7.做好项目的环境风险防范工作。建立环境风险应急管理体系，根据项目的建设内容</w:t>
      </w:r>
      <w:r>
        <w:rPr>
          <w:rFonts w:hint="eastAsia" w:eastAsia="仿宋_GB2312"/>
          <w:sz w:val="32"/>
          <w:szCs w:val="32"/>
        </w:rPr>
        <w:t>修编</w:t>
      </w:r>
      <w:r>
        <w:rPr>
          <w:rFonts w:eastAsia="仿宋_GB2312"/>
          <w:sz w:val="32"/>
          <w:szCs w:val="32"/>
        </w:rPr>
        <w:t>突发环境事件应急预案，保证防范环境风险的配套设施的落实，确保在应急状态下，废水能自流进入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pPr>
        <w:widowControl/>
        <w:snapToGrid w:val="0"/>
        <w:spacing w:line="560" w:lineRule="exact"/>
        <w:ind w:firstLine="640" w:firstLineChars="200"/>
        <w:rPr>
          <w:rFonts w:eastAsia="仿宋_GB2312"/>
          <w:color w:val="000000"/>
          <w:sz w:val="32"/>
          <w:szCs w:val="32"/>
        </w:rPr>
      </w:pPr>
      <w:r>
        <w:rPr>
          <w:rFonts w:eastAsia="仿宋_GB2312"/>
          <w:sz w:val="32"/>
          <w:szCs w:val="32"/>
        </w:rPr>
        <w:t>8.建立健全环境管理规章制度，设立环境管理机构，确定专人负责环保工作。</w:t>
      </w:r>
      <w:r>
        <w:rPr>
          <w:rFonts w:eastAsia="仿宋_GB2312"/>
          <w:color w:val="000000"/>
          <w:sz w:val="32"/>
          <w:szCs w:val="32"/>
        </w:rPr>
        <w:t>按照《排污许可管理条例》要求，依法安装、使用、维护污染物排放自动监测设备，并与生态环境主管部门的监控设备联网。制定环境监测计划，定期开展环境监测。加强对污染治理设施的管理和维护，确保污染治理设施正常运行，污染物稳定达标排放。</w:t>
      </w:r>
    </w:p>
    <w:p>
      <w:pPr>
        <w:widowControl/>
        <w:snapToGrid w:val="0"/>
        <w:spacing w:line="560" w:lineRule="exact"/>
        <w:ind w:firstLine="640" w:firstLineChars="200"/>
        <w:rPr>
          <w:rFonts w:eastAsia="仿宋_GB2312"/>
          <w:sz w:val="32"/>
          <w:szCs w:val="32"/>
        </w:rPr>
      </w:pPr>
      <w:r>
        <w:rPr>
          <w:rFonts w:eastAsia="仿宋_GB2312"/>
          <w:sz w:val="32"/>
          <w:szCs w:val="32"/>
        </w:rPr>
        <w:t>9.施工期应按《</w:t>
      </w:r>
      <w:r>
        <w:rPr>
          <w:rFonts w:hint="eastAsia" w:eastAsia="仿宋_GB2312"/>
          <w:sz w:val="32"/>
          <w:szCs w:val="32"/>
        </w:rPr>
        <w:t>报告表</w:t>
      </w:r>
      <w:r>
        <w:rPr>
          <w:rFonts w:eastAsia="仿宋_GB2312"/>
          <w:sz w:val="32"/>
          <w:szCs w:val="32"/>
        </w:rPr>
        <w:t>》要求及相关规定落实废气、废水、噪声等污染防治措施，做好固体废物管理，确保施工期污染物达标排放。</w:t>
      </w:r>
    </w:p>
    <w:p>
      <w:pPr>
        <w:widowControl/>
        <w:snapToGrid w:val="0"/>
        <w:spacing w:line="520" w:lineRule="exact"/>
        <w:ind w:firstLine="640" w:firstLineChars="200"/>
        <w:rPr>
          <w:rFonts w:eastAsia="仿宋_GB2312"/>
          <w:color w:val="000000"/>
          <w:sz w:val="32"/>
          <w:szCs w:val="32"/>
        </w:rPr>
      </w:pPr>
      <w:r>
        <w:rPr>
          <w:rFonts w:hint="eastAsia" w:eastAsia="仿宋_GB2312"/>
          <w:sz w:val="32"/>
          <w:szCs w:val="32"/>
        </w:rPr>
        <w:t>三</w:t>
      </w:r>
      <w:r>
        <w:rPr>
          <w:rFonts w:eastAsia="仿宋_GB2312"/>
          <w:sz w:val="32"/>
          <w:szCs w:val="32"/>
        </w:rPr>
        <w:t>、</w:t>
      </w:r>
      <w:r>
        <w:rPr>
          <w:rFonts w:eastAsia="仿宋_GB2312"/>
          <w:color w:val="000000"/>
          <w:sz w:val="32"/>
          <w:szCs w:val="32"/>
        </w:rPr>
        <w:t>应当严格执行安全生产各项规定，建立健全安全生产管理制度，</w:t>
      </w:r>
      <w:r>
        <w:rPr>
          <w:rFonts w:hint="eastAsia" w:eastAsia="仿宋_GB2312"/>
          <w:color w:val="000000"/>
          <w:sz w:val="32"/>
          <w:szCs w:val="32"/>
        </w:rPr>
        <w:t>将环保设备设施安全作为企业安全管理的重要组成部分，加强环保设备设施相关岗位人员安全培训。严格落实涉环保设备设施新、改、扩建项目环保和安全“三同时”有关要求，委托有资质的设计单位进行正规设计。对粉尘治理设施等重点环保设备设施，开展环保设备设施安全风险辨识评估和隐患排查治理，落实安全生产各项责任措施。环保设备设施依法开展安全风险评估，按要求设置安全监测监控系统和联锁保护装置，做好安全防范。</w:t>
      </w:r>
    </w:p>
    <w:p>
      <w:pPr>
        <w:widowControl/>
        <w:snapToGrid w:val="0"/>
        <w:spacing w:line="56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建设项目必须严格执行环境保护“三同时”制度。初步设计应当按照环境保护设计规范的要求，编制环境保护篇章，落实防治环境污染和生态破坏的措施以及环境保护设施投资概算。环保设施建设必须纳入施工合同，保证环保设施建设进度和资金。</w:t>
      </w:r>
    </w:p>
    <w:p>
      <w:pPr>
        <w:widowControl/>
        <w:snapToGrid w:val="0"/>
        <w:spacing w:line="56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、《报告</w:t>
      </w:r>
      <w:r>
        <w:rPr>
          <w:rFonts w:hint="eastAsia" w:eastAsia="仿宋_GB2312"/>
          <w:sz w:val="32"/>
          <w:szCs w:val="32"/>
        </w:rPr>
        <w:t>表</w:t>
      </w:r>
      <w:r>
        <w:rPr>
          <w:rFonts w:eastAsia="仿宋_GB2312"/>
          <w:sz w:val="32"/>
          <w:szCs w:val="32"/>
        </w:rPr>
        <w:t>》经批准后，如项目的性质、规模、地点、采用的生产工艺或防治污染的措施发生重大变动的，应依法重新报批项目的环境影响评价文件。超过五年方决定该项目开工建设的，应依法报我局重新审核。</w:t>
      </w:r>
    </w:p>
    <w:p>
      <w:pPr>
        <w:widowControl/>
        <w:snapToGrid w:val="0"/>
        <w:spacing w:line="560" w:lineRule="exact"/>
        <w:ind w:firstLine="640" w:firstLineChars="200"/>
        <w:rPr>
          <w:rFonts w:eastAsia="仿宋_GB2312"/>
          <w:sz w:val="32"/>
          <w:szCs w:val="32"/>
        </w:rPr>
      </w:pPr>
      <w:r>
        <w:rPr>
          <w:rFonts w:hint="eastAsia" w:eastAsia="仿宋_GB2312"/>
          <w:sz w:val="32"/>
          <w:szCs w:val="32"/>
        </w:rPr>
        <w:t>六</w:t>
      </w:r>
      <w:r>
        <w:rPr>
          <w:rFonts w:eastAsia="仿宋_GB2312"/>
          <w:sz w:val="32"/>
          <w:szCs w:val="32"/>
        </w:rPr>
        <w:t>、国家对本项目应执行的环境标准作出修订或新颁布的要求，执行新标准和新要求。</w:t>
      </w:r>
    </w:p>
    <w:p>
      <w:pPr>
        <w:widowControl/>
        <w:snapToGrid w:val="0"/>
        <w:spacing w:line="560" w:lineRule="exact"/>
        <w:ind w:firstLine="640" w:firstLineChars="200"/>
        <w:rPr>
          <w:rFonts w:eastAsia="仿宋_GB2312"/>
          <w:sz w:val="32"/>
          <w:szCs w:val="32"/>
        </w:rPr>
      </w:pPr>
      <w:r>
        <w:rPr>
          <w:rFonts w:hint="eastAsia" w:eastAsia="仿宋_GB2312"/>
          <w:sz w:val="32"/>
          <w:szCs w:val="32"/>
        </w:rPr>
        <w:t>七</w:t>
      </w:r>
      <w:r>
        <w:rPr>
          <w:rFonts w:eastAsia="仿宋_GB2312"/>
          <w:sz w:val="32"/>
          <w:szCs w:val="32"/>
        </w:rPr>
        <w:t>、项目应采用先进适用的工艺技术和装备，单位产品物耗、能耗、水耗等达到清洁生产先进水平，减少碳和污染物排放。</w:t>
      </w:r>
    </w:p>
    <w:p>
      <w:pPr>
        <w:widowControl/>
        <w:snapToGrid w:val="0"/>
        <w:spacing w:line="560" w:lineRule="exact"/>
        <w:ind w:firstLine="640" w:firstLineChars="200"/>
        <w:rPr>
          <w:rFonts w:eastAsia="仿宋_GB2312"/>
          <w:sz w:val="32"/>
          <w:szCs w:val="32"/>
        </w:rPr>
      </w:pPr>
      <w:r>
        <w:rPr>
          <w:rFonts w:hint="eastAsia" w:eastAsia="仿宋_GB2312"/>
          <w:color w:val="000000"/>
          <w:sz w:val="32"/>
          <w:szCs w:val="32"/>
        </w:rPr>
        <w:t>八</w:t>
      </w:r>
      <w:r>
        <w:rPr>
          <w:rFonts w:eastAsia="仿宋_GB2312"/>
          <w:color w:val="000000"/>
          <w:sz w:val="32"/>
          <w:szCs w:val="32"/>
        </w:rPr>
        <w:t>、</w:t>
      </w:r>
      <w:r>
        <w:rPr>
          <w:rFonts w:eastAsia="仿宋_GB2312"/>
          <w:sz w:val="32"/>
          <w:szCs w:val="32"/>
        </w:rPr>
        <w:t>该项目投入生产或使用并产生实际排污行为之前，须按《固定污染源排污许可分类管理名录》申领排污许可证。</w:t>
      </w:r>
    </w:p>
    <w:p>
      <w:pPr>
        <w:widowControl/>
        <w:snapToGrid w:val="0"/>
        <w:spacing w:line="560" w:lineRule="exact"/>
        <w:ind w:firstLine="640" w:firstLineChars="200"/>
        <w:rPr>
          <w:rFonts w:eastAsia="仿宋_GB2312"/>
          <w:sz w:val="32"/>
          <w:szCs w:val="32"/>
        </w:rPr>
      </w:pPr>
      <w:r>
        <w:rPr>
          <w:rFonts w:hint="eastAsia" w:eastAsia="仿宋_GB2312"/>
          <w:sz w:val="32"/>
          <w:szCs w:val="32"/>
        </w:rPr>
        <w:t>九</w:t>
      </w:r>
      <w:r>
        <w:rPr>
          <w:rFonts w:eastAsia="仿宋_GB2312"/>
          <w:sz w:val="32"/>
          <w:szCs w:val="32"/>
        </w:rPr>
        <w:t>、该项目建成后，应按照法定程序和要求及时开展建设项目竣工环境保护验收和验收信息报送工作，并依法依规公开相关信息。</w:t>
      </w:r>
    </w:p>
    <w:p>
      <w:pPr>
        <w:widowControl/>
        <w:snapToGrid w:val="0"/>
        <w:spacing w:line="560" w:lineRule="exact"/>
        <w:ind w:firstLine="640" w:firstLineChars="200"/>
        <w:rPr>
          <w:rFonts w:eastAsia="仿宋_GB2312"/>
          <w:sz w:val="32"/>
          <w:szCs w:val="32"/>
        </w:rPr>
      </w:pPr>
      <w:r>
        <w:rPr>
          <w:rFonts w:eastAsia="仿宋_GB2312"/>
          <w:sz w:val="32"/>
          <w:szCs w:val="32"/>
        </w:rPr>
        <w:t>十、项目实施过程中应依法严格执行相关主管部门规定，取得了法定许可后方可开工。</w:t>
      </w:r>
    </w:p>
    <w:p>
      <w:pPr>
        <w:widowControl/>
        <w:snapToGrid w:val="0"/>
        <w:spacing w:line="560"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一</w:t>
      </w:r>
      <w:r>
        <w:rPr>
          <w:rFonts w:eastAsia="仿宋_GB2312"/>
          <w:sz w:val="32"/>
          <w:szCs w:val="32"/>
        </w:rPr>
        <w:t>、市生态环境保护综合行政执法支队、</w:t>
      </w:r>
      <w:r>
        <w:rPr>
          <w:rFonts w:hint="eastAsia" w:eastAsia="仿宋_GB2312"/>
          <w:sz w:val="32"/>
          <w:szCs w:val="32"/>
        </w:rPr>
        <w:t>徽州区</w:t>
      </w:r>
      <w:r>
        <w:rPr>
          <w:rFonts w:eastAsia="仿宋_GB2312"/>
          <w:sz w:val="32"/>
          <w:szCs w:val="32"/>
        </w:rPr>
        <w:t>生态环境分局负责该项目</w:t>
      </w:r>
      <w:r>
        <w:rPr>
          <w:rFonts w:hint="eastAsia" w:eastAsia="仿宋_GB2312"/>
          <w:sz w:val="32"/>
          <w:szCs w:val="32"/>
        </w:rPr>
        <w:t>环保</w:t>
      </w:r>
      <w:r>
        <w:rPr>
          <w:rFonts w:eastAsia="仿宋_GB2312"/>
          <w:sz w:val="32"/>
          <w:szCs w:val="32"/>
        </w:rPr>
        <w:t>“三同时”日常监督管理工作。</w:t>
      </w:r>
    </w:p>
    <w:p>
      <w:pPr>
        <w:widowControl/>
        <w:shd w:val="clear" w:color="auto" w:fill="FFFFFF"/>
        <w:adjustRightInd w:val="0"/>
        <w:snapToGrid w:val="0"/>
        <w:spacing w:line="560" w:lineRule="exact"/>
        <w:ind w:firstLine="420"/>
        <w:jc w:val="right"/>
        <w:rPr>
          <w:rFonts w:eastAsia="仿宋_GB2312"/>
          <w:color w:val="000000"/>
          <w:sz w:val="32"/>
          <w:szCs w:val="32"/>
          <w:lang w:val="zh-CN"/>
        </w:rPr>
      </w:pPr>
      <w:bookmarkStart w:id="0" w:name="_GoBack"/>
      <w:bookmarkEnd w:id="0"/>
    </w:p>
    <w:p>
      <w:pPr>
        <w:widowControl/>
        <w:shd w:val="clear" w:color="auto" w:fill="FFFFFF"/>
        <w:adjustRightInd w:val="0"/>
        <w:snapToGrid w:val="0"/>
        <w:spacing w:line="560" w:lineRule="exact"/>
        <w:ind w:firstLine="420"/>
        <w:jc w:val="right"/>
        <w:rPr>
          <w:rFonts w:eastAsia="仿宋_GB2312"/>
          <w:color w:val="000000"/>
          <w:sz w:val="32"/>
          <w:szCs w:val="32"/>
          <w:lang w:val="zh-CN"/>
        </w:rPr>
      </w:pPr>
    </w:p>
    <w:p>
      <w:pPr>
        <w:widowControl/>
        <w:shd w:val="clear" w:color="auto" w:fill="FFFFFF"/>
        <w:adjustRightInd w:val="0"/>
        <w:snapToGrid w:val="0"/>
        <w:spacing w:line="560" w:lineRule="exact"/>
        <w:ind w:firstLine="420"/>
        <w:jc w:val="right"/>
        <w:rPr>
          <w:rFonts w:hint="eastAsia" w:eastAsia="仿宋_GB2312"/>
          <w:color w:val="000000"/>
          <w:sz w:val="32"/>
          <w:szCs w:val="32"/>
          <w:lang w:val="zh-CN"/>
        </w:rPr>
      </w:pPr>
      <w:r>
        <w:rPr>
          <w:rFonts w:hint="eastAsia" w:eastAsia="仿宋_GB2312"/>
          <w:color w:val="000000"/>
          <w:sz w:val="32"/>
          <w:szCs w:val="32"/>
          <w:lang w:val="zh-CN"/>
        </w:rPr>
        <w:t>2024年</w:t>
      </w:r>
      <w:r>
        <w:rPr>
          <w:rFonts w:hint="eastAsia" w:eastAsia="仿宋_GB2312"/>
          <w:color w:val="000000"/>
          <w:sz w:val="32"/>
          <w:szCs w:val="32"/>
        </w:rPr>
        <w:t>7</w:t>
      </w:r>
      <w:r>
        <w:rPr>
          <w:rFonts w:hint="eastAsia" w:eastAsia="仿宋_GB2312"/>
          <w:color w:val="000000"/>
          <w:sz w:val="32"/>
          <w:szCs w:val="32"/>
          <w:lang w:val="zh-CN"/>
        </w:rPr>
        <w:t>月</w:t>
      </w:r>
      <w:r>
        <w:rPr>
          <w:rFonts w:hint="eastAsia" w:eastAsia="仿宋_GB2312"/>
          <w:color w:val="000000"/>
          <w:sz w:val="32"/>
          <w:szCs w:val="32"/>
        </w:rPr>
        <w:t>10</w:t>
      </w:r>
      <w:r>
        <w:rPr>
          <w:rFonts w:hint="eastAsia" w:eastAsia="仿宋_GB2312"/>
          <w:color w:val="000000"/>
          <w:sz w:val="32"/>
          <w:szCs w:val="32"/>
          <w:lang w:val="zh-CN"/>
        </w:rPr>
        <w:t>日</w:t>
      </w:r>
    </w:p>
    <w:p>
      <w:pPr>
        <w:pStyle w:val="2"/>
        <w:ind w:firstLine="480"/>
        <w:rPr>
          <w:rFonts w:hint="eastAsia"/>
          <w:lang w:val="zh-CN"/>
        </w:rPr>
      </w:pPr>
    </w:p>
    <w:p>
      <w:pPr>
        <w:pStyle w:val="3"/>
        <w:spacing w:before="312"/>
        <w:rPr>
          <w:rFonts w:hint="eastAsia"/>
          <w:lang w:val="zh-CN"/>
        </w:rPr>
      </w:pPr>
    </w:p>
    <w:p>
      <w:pPr>
        <w:pStyle w:val="3"/>
        <w:spacing w:before="312"/>
        <w:rPr>
          <w:rFonts w:hint="eastAsia"/>
          <w:lang w:val="zh-CN"/>
        </w:rPr>
      </w:pPr>
    </w:p>
    <w:p>
      <w:pPr>
        <w:pStyle w:val="3"/>
        <w:spacing w:before="312"/>
        <w:rPr>
          <w:rFonts w:hint="eastAsia"/>
          <w:lang w:val="zh-CN"/>
        </w:rPr>
      </w:pPr>
    </w:p>
    <w:p>
      <w:pPr>
        <w:pStyle w:val="3"/>
        <w:spacing w:before="312"/>
        <w:rPr>
          <w:rFonts w:hint="eastAsia"/>
          <w:lang w:val="zh-CN"/>
        </w:rPr>
      </w:pPr>
    </w:p>
    <w:p>
      <w:pPr>
        <w:pStyle w:val="3"/>
        <w:spacing w:before="312"/>
        <w:rPr>
          <w:rFonts w:hint="eastAsia"/>
          <w:lang w:val="zh-CN"/>
        </w:rPr>
      </w:pPr>
    </w:p>
    <w:p>
      <w:pPr>
        <w:pStyle w:val="3"/>
        <w:spacing w:before="312"/>
        <w:rPr>
          <w:rFonts w:hint="eastAsia"/>
          <w:lang w:val="zh-CN"/>
        </w:rPr>
      </w:pPr>
    </w:p>
    <w:p>
      <w:pPr>
        <w:pStyle w:val="3"/>
        <w:spacing w:before="312"/>
        <w:rPr>
          <w:rFonts w:hint="eastAsia"/>
          <w:lang w:val="zh-CN"/>
        </w:rPr>
      </w:pPr>
    </w:p>
    <w:p>
      <w:pPr>
        <w:pStyle w:val="3"/>
        <w:spacing w:before="312"/>
        <w:rPr>
          <w:rFonts w:hint="eastAsia"/>
          <w:lang w:val="zh-CN"/>
        </w:rPr>
      </w:pPr>
    </w:p>
    <w:p>
      <w:pPr>
        <w:pStyle w:val="3"/>
        <w:spacing w:before="312"/>
        <w:rPr>
          <w:rFonts w:hint="eastAsia"/>
          <w:lang w:val="zh-CN"/>
        </w:rPr>
      </w:pPr>
    </w:p>
    <w:p>
      <w:pPr>
        <w:pStyle w:val="3"/>
        <w:spacing w:before="312"/>
        <w:rPr>
          <w:rFonts w:hint="eastAsia"/>
          <w:lang w:val="zh-CN"/>
        </w:rPr>
      </w:pPr>
    </w:p>
    <w:p>
      <w:pPr>
        <w:pStyle w:val="3"/>
        <w:spacing w:before="312"/>
        <w:rPr>
          <w:rFonts w:hint="eastAsia"/>
          <w:lang w:val="zh-CN"/>
        </w:rPr>
      </w:pPr>
    </w:p>
    <w:p>
      <w:pPr>
        <w:pStyle w:val="3"/>
        <w:spacing w:before="312"/>
        <w:rPr>
          <w:lang w:val="zh-CN"/>
        </w:rPr>
      </w:pPr>
    </w:p>
    <w:p>
      <w:pPr>
        <w:widowControl/>
        <w:adjustRightInd w:val="0"/>
        <w:snapToGrid w:val="0"/>
        <w:spacing w:line="560" w:lineRule="exact"/>
        <w:ind w:firstLine="640" w:firstLineChars="200"/>
        <w:rPr>
          <w:rFonts w:eastAsia="仿宋_GB2312"/>
          <w:color w:val="000000"/>
          <w:sz w:val="32"/>
          <w:szCs w:val="32"/>
        </w:rPr>
      </w:pPr>
    </w:p>
    <w:p>
      <w:pPr>
        <w:widowControl/>
        <w:adjustRightInd w:val="0"/>
        <w:snapToGrid w:val="0"/>
        <w:spacing w:line="560" w:lineRule="exact"/>
        <w:ind w:firstLine="640" w:firstLineChars="200"/>
        <w:rPr>
          <w:rFonts w:eastAsia="仿宋_GB2312"/>
          <w:color w:val="000000"/>
          <w:sz w:val="32"/>
          <w:szCs w:val="32"/>
        </w:rPr>
      </w:pPr>
    </w:p>
    <w:p>
      <w:pPr>
        <w:widowControl/>
        <w:adjustRightInd w:val="0"/>
        <w:snapToGrid w:val="0"/>
        <w:spacing w:line="560" w:lineRule="exact"/>
        <w:ind w:firstLine="640" w:firstLineChars="200"/>
        <w:rPr>
          <w:rFonts w:eastAsia="仿宋_GB2312"/>
          <w:color w:val="000000"/>
          <w:sz w:val="32"/>
          <w:szCs w:val="32"/>
        </w:rPr>
      </w:pPr>
    </w:p>
    <w:p>
      <w:pPr>
        <w:widowControl/>
        <w:adjustRightInd w:val="0"/>
        <w:snapToGrid w:val="0"/>
        <w:spacing w:line="560" w:lineRule="exact"/>
        <w:ind w:firstLine="640" w:firstLineChars="200"/>
        <w:rPr>
          <w:rFonts w:eastAsia="仿宋_GB2312"/>
          <w:color w:val="000000"/>
          <w:sz w:val="32"/>
          <w:szCs w:val="32"/>
        </w:rPr>
      </w:pPr>
    </w:p>
    <w:p>
      <w:pPr>
        <w:adjustRightInd w:val="0"/>
        <w:snapToGrid w:val="0"/>
        <w:spacing w:line="560" w:lineRule="exact"/>
        <w:ind w:firstLine="640" w:firstLineChars="200"/>
        <w:rPr>
          <w:rFonts w:eastAsia="仿宋_GB2312"/>
          <w:sz w:val="32"/>
          <w:szCs w:val="32"/>
        </w:rPr>
      </w:pPr>
    </w:p>
    <w:p>
      <w:pPr>
        <w:widowControl/>
        <w:adjustRightInd w:val="0"/>
        <w:snapToGrid w:val="0"/>
        <w:spacing w:line="520" w:lineRule="exact"/>
        <w:ind w:firstLine="570"/>
        <w:rPr>
          <w:rFonts w:eastAsia="仿宋_GB2312"/>
          <w:color w:val="000000"/>
          <w:sz w:val="32"/>
          <w:szCs w:val="32"/>
        </w:rPr>
      </w:pPr>
    </w:p>
    <w:p>
      <w:pPr>
        <w:widowControl/>
        <w:adjustRightInd w:val="0"/>
        <w:snapToGrid w:val="0"/>
        <w:spacing w:line="520" w:lineRule="exact"/>
        <w:ind w:firstLine="570"/>
        <w:rPr>
          <w:rFonts w:eastAsia="仿宋_GB2312"/>
          <w:color w:val="000000"/>
          <w:sz w:val="32"/>
          <w:szCs w:val="32"/>
        </w:rPr>
      </w:pPr>
    </w:p>
    <w:p>
      <w:pPr>
        <w:pStyle w:val="3"/>
        <w:spacing w:before="312"/>
      </w:pPr>
    </w:p>
    <w:tbl>
      <w:tblPr>
        <w:tblStyle w:val="14"/>
        <w:tblpPr w:leftFromText="180" w:rightFromText="180" w:vertAnchor="text" w:horzAnchor="margin" w:tblpXSpec="center" w:tblpY="329"/>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 w:hRule="atLeast"/>
        </w:trPr>
        <w:tc>
          <w:tcPr>
            <w:tcW w:w="9480" w:type="dxa"/>
            <w:tcBorders>
              <w:top w:val="single" w:color="auto" w:sz="4" w:space="0"/>
              <w:left w:val="nil"/>
              <w:bottom w:val="single" w:color="auto" w:sz="4" w:space="0"/>
              <w:right w:val="nil"/>
            </w:tcBorders>
            <w:vAlign w:val="center"/>
          </w:tcPr>
          <w:p>
            <w:pPr>
              <w:adjustRightInd w:val="0"/>
              <w:snapToGrid w:val="0"/>
              <w:spacing w:line="460" w:lineRule="exact"/>
              <w:ind w:left="1050" w:leftChars="100" w:hanging="840" w:hangingChars="300"/>
              <w:rPr>
                <w:rFonts w:eastAsia="仿宋_GB2312"/>
                <w:sz w:val="28"/>
                <w:szCs w:val="28"/>
              </w:rPr>
            </w:pPr>
            <w:r>
              <w:rPr>
                <w:rFonts w:eastAsia="仿宋_GB2312"/>
                <w:sz w:val="28"/>
                <w:szCs w:val="28"/>
              </w:rPr>
              <w:t>抄送：市生态环境保护综合行政执法支队，</w:t>
            </w:r>
            <w:r>
              <w:rPr>
                <w:rFonts w:hint="eastAsia" w:eastAsia="仿宋_GB2312"/>
                <w:sz w:val="28"/>
                <w:szCs w:val="28"/>
              </w:rPr>
              <w:t>徽州</w:t>
            </w:r>
            <w:r>
              <w:rPr>
                <w:rFonts w:eastAsia="仿宋_GB2312"/>
                <w:sz w:val="28"/>
                <w:szCs w:val="28"/>
              </w:rPr>
              <w:t>区生态环境分局，</w:t>
            </w:r>
            <w:r>
              <w:rPr>
                <w:rFonts w:hint="eastAsia" w:eastAsia="仿宋_GB2312"/>
                <w:sz w:val="28"/>
                <w:szCs w:val="28"/>
              </w:rPr>
              <w:t>徽州</w:t>
            </w:r>
            <w:r>
              <w:rPr>
                <w:rFonts w:eastAsia="仿宋_GB2312"/>
                <w:sz w:val="28"/>
                <w:szCs w:val="28"/>
              </w:rPr>
              <w:t>经济开发区管委会，</w:t>
            </w:r>
            <w:r>
              <w:rPr>
                <w:rFonts w:hint="eastAsia" w:eastAsia="仿宋_GB2312"/>
                <w:sz w:val="28"/>
                <w:szCs w:val="28"/>
                <w:lang w:val="zh-CN"/>
              </w:rPr>
              <w:t>黄山华泽环境科技有限公司</w:t>
            </w:r>
            <w:r>
              <w:rPr>
                <w:rFonts w:hint="eastAsia"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480" w:type="dxa"/>
            <w:tcBorders>
              <w:top w:val="single" w:color="auto" w:sz="4" w:space="0"/>
              <w:left w:val="nil"/>
              <w:bottom w:val="single" w:color="auto" w:sz="4" w:space="0"/>
              <w:right w:val="nil"/>
            </w:tcBorders>
            <w:vAlign w:val="center"/>
          </w:tcPr>
          <w:p>
            <w:pPr>
              <w:adjustRightInd w:val="0"/>
              <w:snapToGrid w:val="0"/>
              <w:spacing w:line="460" w:lineRule="exact"/>
              <w:ind w:firstLine="140" w:firstLineChars="50"/>
              <w:rPr>
                <w:rFonts w:eastAsia="仿宋_GB2312"/>
                <w:sz w:val="28"/>
                <w:szCs w:val="28"/>
              </w:rPr>
            </w:pPr>
            <w:r>
              <w:rPr>
                <w:rFonts w:eastAsia="仿宋_GB2312"/>
                <w:sz w:val="28"/>
                <w:szCs w:val="28"/>
              </w:rPr>
              <w:t>黄山市生态环境局                            202</w:t>
            </w:r>
            <w:r>
              <w:rPr>
                <w:rFonts w:hint="eastAsia" w:eastAsia="仿宋_GB2312"/>
                <w:sz w:val="28"/>
                <w:szCs w:val="28"/>
              </w:rPr>
              <w:t>4</w:t>
            </w:r>
            <w:r>
              <w:rPr>
                <w:rFonts w:eastAsia="仿宋_GB2312"/>
                <w:sz w:val="28"/>
                <w:szCs w:val="28"/>
              </w:rPr>
              <w:t>年</w:t>
            </w:r>
            <w:r>
              <w:rPr>
                <w:rFonts w:hint="eastAsia" w:eastAsia="仿宋_GB2312"/>
                <w:sz w:val="28"/>
                <w:szCs w:val="28"/>
              </w:rPr>
              <w:t>7</w:t>
            </w:r>
            <w:r>
              <w:rPr>
                <w:rFonts w:eastAsia="仿宋_GB2312"/>
                <w:sz w:val="28"/>
                <w:szCs w:val="28"/>
              </w:rPr>
              <w:t>月</w:t>
            </w:r>
            <w:r>
              <w:rPr>
                <w:rFonts w:hint="eastAsia" w:eastAsia="仿宋_GB2312"/>
                <w:sz w:val="28"/>
                <w:szCs w:val="28"/>
              </w:rPr>
              <w:t>10</w:t>
            </w:r>
            <w:r>
              <w:rPr>
                <w:rFonts w:eastAsia="仿宋_GB2312"/>
                <w:sz w:val="28"/>
                <w:szCs w:val="28"/>
              </w:rPr>
              <w:t>日印发</w:t>
            </w:r>
          </w:p>
        </w:tc>
      </w:tr>
    </w:tbl>
    <w:p>
      <w:pPr>
        <w:spacing w:line="560" w:lineRule="exact"/>
        <w:jc w:val="center"/>
        <w:rPr>
          <w:rFonts w:eastAsia="仿宋_GB2312"/>
          <w:sz w:val="32"/>
          <w:szCs w:val="32"/>
        </w:rPr>
      </w:pPr>
    </w:p>
    <w:sectPr>
      <w:footerReference r:id="rId3" w:type="default"/>
      <w:footerReference r:id="rId4" w:type="even"/>
      <w:pgSz w:w="11906" w:h="16838"/>
      <w:pgMar w:top="1985" w:right="1797" w:bottom="1134" w:left="1797" w:header="851" w:footer="79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algun Gothic Semilight">
    <w:altName w:val="汉仪仿宋S"/>
    <w:panose1 w:val="00000000000000000000"/>
    <w:charset w:val="86"/>
    <w:family w:val="swiss"/>
    <w:pitch w:val="default"/>
    <w:sig w:usb0="00000000" w:usb1="00000000" w:usb2="00000012" w:usb3="00000000" w:csb0="003E01BD" w:csb1="00000000"/>
  </w:font>
  <w:font w:name="Arial">
    <w:altName w:val="Nimbus Roman No9 L"/>
    <w:panose1 w:val="020B060402020202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57A14"/>
    <w:multiLevelType w:val="singleLevel"/>
    <w:tmpl w:val="FB457A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mirrorMargins w:val="true"/>
  <w:bordersDoNotSurroundHeader w:val="true"/>
  <w:bordersDoNotSurroundFooter w:val="true"/>
  <w:documentProtection w:enforcement="0"/>
  <w:defaultTabStop w:val="420"/>
  <w:doNotHyphenateCaps/>
  <w:evenAndOddHeaders w:val="true"/>
  <w:drawingGridHorizontalSpacing w:val="105"/>
  <w:drawingGridVerticalSpacing w:val="435"/>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7CA6"/>
    <w:rsid w:val="001005B6"/>
    <w:rsid w:val="00100D61"/>
    <w:rsid w:val="00102A1F"/>
    <w:rsid w:val="00103764"/>
    <w:rsid w:val="001040B0"/>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574"/>
    <w:rsid w:val="001779AA"/>
    <w:rsid w:val="00183CCD"/>
    <w:rsid w:val="00185EA7"/>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6E79"/>
    <w:rsid w:val="002C1F12"/>
    <w:rsid w:val="002C3587"/>
    <w:rsid w:val="002C45B2"/>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331D"/>
    <w:rsid w:val="00693444"/>
    <w:rsid w:val="0069366E"/>
    <w:rsid w:val="006A3EC4"/>
    <w:rsid w:val="006B123F"/>
    <w:rsid w:val="006B5BD8"/>
    <w:rsid w:val="006B63E0"/>
    <w:rsid w:val="006B6B59"/>
    <w:rsid w:val="006B76DB"/>
    <w:rsid w:val="006B7BCF"/>
    <w:rsid w:val="006C03C3"/>
    <w:rsid w:val="006C19A5"/>
    <w:rsid w:val="006C1FEE"/>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387C"/>
    <w:rsid w:val="007F17A9"/>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7944"/>
    <w:rsid w:val="00CC7C9D"/>
    <w:rsid w:val="00CD29E9"/>
    <w:rsid w:val="00CD461C"/>
    <w:rsid w:val="00CD5989"/>
    <w:rsid w:val="00CD7FAB"/>
    <w:rsid w:val="00CE1C37"/>
    <w:rsid w:val="00CE1C5C"/>
    <w:rsid w:val="00CE3B51"/>
    <w:rsid w:val="00CE5E63"/>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 w:val="DEFB205C"/>
    <w:rsid w:val="FAFF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locked/>
    <w:uiPriority w:val="0"/>
    <w:pPr>
      <w:keepNext/>
      <w:keepLines/>
      <w:spacing w:before="340" w:after="330" w:line="578" w:lineRule="auto"/>
      <w:outlineLvl w:val="0"/>
    </w:pPr>
    <w:rPr>
      <w:b/>
      <w:bCs/>
      <w:kern w:val="44"/>
      <w:sz w:val="44"/>
      <w:szCs w:val="44"/>
    </w:rPr>
  </w:style>
  <w:style w:type="paragraph" w:styleId="5">
    <w:name w:val="heading 2"/>
    <w:basedOn w:val="1"/>
    <w:next w:val="1"/>
    <w:link w:val="27"/>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28"/>
    <w:qFormat/>
    <w:uiPriority w:val="0"/>
    <w:pPr>
      <w:ind w:firstLine="420" w:firstLineChars="200"/>
    </w:pPr>
    <w:rPr>
      <w:kern w:val="0"/>
      <w:sz w:val="24"/>
      <w:szCs w:val="20"/>
    </w:rPr>
  </w:style>
  <w:style w:type="paragraph" w:customStyle="1" w:styleId="3">
    <w:name w:val="附图图片"/>
    <w:basedOn w:val="1"/>
    <w:qFormat/>
    <w:uiPriority w:val="0"/>
    <w:pPr>
      <w:spacing w:before="100" w:beforeLines="100"/>
      <w:jc w:val="center"/>
    </w:pPr>
    <w:rPr>
      <w:rFonts w:eastAsia="楷体"/>
      <w:sz w:val="24"/>
    </w:rPr>
  </w:style>
  <w:style w:type="paragraph" w:styleId="6">
    <w:name w:val="annotation text"/>
    <w:basedOn w:val="1"/>
    <w:link w:val="29"/>
    <w:semiHidden/>
    <w:qFormat/>
    <w:uiPriority w:val="0"/>
    <w:pPr>
      <w:jc w:val="left"/>
    </w:pPr>
    <w:rPr>
      <w:szCs w:val="21"/>
    </w:rPr>
  </w:style>
  <w:style w:type="paragraph" w:styleId="7">
    <w:name w:val="Body Text"/>
    <w:basedOn w:val="1"/>
    <w:next w:val="1"/>
    <w:qFormat/>
    <w:uiPriority w:val="0"/>
    <w:pPr>
      <w:spacing w:after="120"/>
    </w:pPr>
  </w:style>
  <w:style w:type="paragraph" w:styleId="8">
    <w:name w:val="Date"/>
    <w:basedOn w:val="1"/>
    <w:next w:val="1"/>
    <w:link w:val="30"/>
    <w:qFormat/>
    <w:uiPriority w:val="0"/>
    <w:pPr>
      <w:ind w:left="100" w:leftChars="2500"/>
    </w:pPr>
    <w:rPr>
      <w:sz w:val="24"/>
    </w:rPr>
  </w:style>
  <w:style w:type="paragraph" w:styleId="9">
    <w:name w:val="Body Text Indent 2"/>
    <w:basedOn w:val="1"/>
    <w:link w:val="31"/>
    <w:qFormat/>
    <w:uiPriority w:val="0"/>
    <w:pPr>
      <w:spacing w:line="590" w:lineRule="exact"/>
      <w:ind w:firstLine="880" w:firstLineChars="200"/>
    </w:pPr>
    <w:rPr>
      <w:rFonts w:eastAsia="方正仿宋_GBK"/>
    </w:rPr>
  </w:style>
  <w:style w:type="paragraph" w:styleId="10">
    <w:name w:val="footer"/>
    <w:basedOn w:val="1"/>
    <w:link w:val="32"/>
    <w:qFormat/>
    <w:uiPriority w:val="0"/>
    <w:pPr>
      <w:tabs>
        <w:tab w:val="center" w:pos="4153"/>
        <w:tab w:val="right" w:pos="8306"/>
      </w:tabs>
      <w:snapToGrid w:val="0"/>
      <w:jc w:val="left"/>
    </w:pPr>
    <w:rPr>
      <w:sz w:val="18"/>
      <w:szCs w:val="20"/>
    </w:rPr>
  </w:style>
  <w:style w:type="paragraph" w:styleId="11">
    <w:name w:val="header"/>
    <w:basedOn w:val="1"/>
    <w:link w:val="33"/>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39"/>
    <w:pPr>
      <w:tabs>
        <w:tab w:val="right" w:leader="dot" w:pos="8302"/>
      </w:tabs>
      <w:spacing w:before="120" w:after="120" w:line="360" w:lineRule="auto"/>
      <w:jc w:val="distribute"/>
    </w:pPr>
    <w:rPr>
      <w:rFonts w:ascii="黑体" w:hAnsi="黑体" w:eastAsia="黑体"/>
      <w:bCs/>
      <w:caps/>
      <w:kern w:val="44"/>
      <w:szCs w:val="20"/>
    </w:r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locked/>
    <w:uiPriority w:val="0"/>
    <w:rPr>
      <w:rFonts w:cs="Times New Roman"/>
      <w:b/>
      <w:bCs/>
    </w:rPr>
  </w:style>
  <w:style w:type="character" w:styleId="18">
    <w:name w:val="page number"/>
    <w:qFormat/>
    <w:uiPriority w:val="0"/>
    <w:rPr>
      <w:rFonts w:cs="Times New Roman"/>
    </w:rPr>
  </w:style>
  <w:style w:type="character" w:styleId="19">
    <w:name w:val="Emphasis"/>
    <w:qFormat/>
    <w:locked/>
    <w:uiPriority w:val="0"/>
    <w:rPr>
      <w:rFonts w:cs="Times New Roman"/>
      <w:i/>
      <w:iCs/>
    </w:rPr>
  </w:style>
  <w:style w:type="character" w:styleId="20">
    <w:name w:val="Hyperlink"/>
    <w:qFormat/>
    <w:uiPriority w:val="0"/>
    <w:rPr>
      <w:rFonts w:ascii="微软雅黑" w:hAnsi="微软雅黑" w:eastAsia="微软雅黑"/>
      <w:color w:val="000000"/>
      <w:sz w:val="18"/>
      <w:u w:val="none"/>
    </w:rPr>
  </w:style>
  <w:style w:type="paragraph" w:customStyle="1" w:styleId="21">
    <w:name w:val="Default"/>
    <w:basedOn w:val="22"/>
    <w:next w:val="23"/>
    <w:qFormat/>
    <w:uiPriority w:val="99"/>
    <w:pPr>
      <w:tabs>
        <w:tab w:val="left" w:pos="0"/>
      </w:tabs>
      <w:autoSpaceDE w:val="0"/>
      <w:autoSpaceDN w:val="0"/>
      <w:adjustRightInd w:val="0"/>
    </w:pPr>
    <w:rPr>
      <w:color w:val="000000"/>
      <w:sz w:val="24"/>
    </w:rPr>
  </w:style>
  <w:style w:type="paragraph" w:customStyle="1" w:styleId="22">
    <w:name w:val="标题2"/>
    <w:basedOn w:val="5"/>
    <w:qFormat/>
    <w:uiPriority w:val="0"/>
    <w:pPr>
      <w:tabs>
        <w:tab w:val="left" w:pos="0"/>
      </w:tabs>
      <w:spacing w:line="440" w:lineRule="exact"/>
      <w:ind w:left="1560"/>
    </w:pPr>
    <w:rPr>
      <w:sz w:val="28"/>
    </w:rPr>
  </w:style>
  <w:style w:type="paragraph" w:customStyle="1" w:styleId="23">
    <w:name w:val="样式3"/>
    <w:basedOn w:val="12"/>
    <w:next w:val="24"/>
    <w:qFormat/>
    <w:uiPriority w:val="0"/>
    <w:pPr>
      <w:autoSpaceDE w:val="0"/>
      <w:autoSpaceDN w:val="0"/>
      <w:snapToGrid w:val="0"/>
      <w:spacing w:line="460" w:lineRule="atLeast"/>
      <w:jc w:val="center"/>
    </w:pPr>
    <w:rPr>
      <w:rFonts w:ascii="Times New Roman" w:hAnsi="Times New Roman"/>
      <w:kern w:val="2"/>
      <w:sz w:val="28"/>
    </w:rPr>
  </w:style>
  <w:style w:type="paragraph" w:customStyle="1" w:styleId="24">
    <w:name w:val="目录 53"/>
    <w:basedOn w:val="1"/>
    <w:next w:val="1"/>
    <w:qFormat/>
    <w:uiPriority w:val="0"/>
    <w:pPr>
      <w:ind w:left="840"/>
    </w:pPr>
    <w:rPr>
      <w:rFonts w:cs="宋体"/>
      <w:color w:val="000000"/>
    </w:rPr>
  </w:style>
  <w:style w:type="paragraph" w:customStyle="1" w:styleId="25">
    <w:name w:val="正文1"/>
    <w:qFormat/>
    <w:uiPriority w:val="0"/>
    <w:pPr>
      <w:spacing w:line="520" w:lineRule="exact"/>
      <w:ind w:firstLine="1128" w:firstLineChars="200"/>
      <w:jc w:val="both"/>
    </w:pPr>
    <w:rPr>
      <w:rFonts w:ascii="Times New Roman" w:hAnsi="Times New Roman" w:eastAsia="宋体" w:cs="Times New Roman"/>
      <w:kern w:val="2"/>
      <w:sz w:val="24"/>
      <w:szCs w:val="24"/>
      <w:lang w:val="en-US" w:eastAsia="zh-CN" w:bidi="ar-SA"/>
    </w:rPr>
  </w:style>
  <w:style w:type="character" w:customStyle="1" w:styleId="26">
    <w:name w:val="标题 1 Char"/>
    <w:link w:val="4"/>
    <w:qFormat/>
    <w:uiPriority w:val="0"/>
    <w:rPr>
      <w:b/>
      <w:bCs/>
      <w:kern w:val="44"/>
      <w:sz w:val="44"/>
      <w:szCs w:val="44"/>
    </w:rPr>
  </w:style>
  <w:style w:type="character" w:customStyle="1" w:styleId="27">
    <w:name w:val="标题 2 Char"/>
    <w:link w:val="5"/>
    <w:qFormat/>
    <w:locked/>
    <w:uiPriority w:val="0"/>
    <w:rPr>
      <w:rFonts w:ascii="宋体" w:hAnsi="宋体" w:eastAsia="宋体" w:cs="宋体"/>
      <w:b/>
      <w:bCs/>
      <w:sz w:val="36"/>
      <w:szCs w:val="36"/>
      <w:lang w:val="en-US" w:eastAsia="zh-CN" w:bidi="ar-SA"/>
    </w:rPr>
  </w:style>
  <w:style w:type="character" w:customStyle="1" w:styleId="28">
    <w:name w:val="正文缩进 Char"/>
    <w:link w:val="2"/>
    <w:qFormat/>
    <w:locked/>
    <w:uiPriority w:val="0"/>
    <w:rPr>
      <w:rFonts w:eastAsia="宋体"/>
      <w:sz w:val="24"/>
      <w:lang w:bidi="ar-SA"/>
    </w:rPr>
  </w:style>
  <w:style w:type="character" w:customStyle="1" w:styleId="29">
    <w:name w:val="批注文字 Char"/>
    <w:basedOn w:val="16"/>
    <w:link w:val="6"/>
    <w:qFormat/>
    <w:locked/>
    <w:uiPriority w:val="0"/>
    <w:rPr>
      <w:rFonts w:eastAsia="宋体"/>
      <w:kern w:val="2"/>
      <w:sz w:val="21"/>
      <w:szCs w:val="21"/>
      <w:lang w:val="en-US" w:eastAsia="zh-CN" w:bidi="ar-SA"/>
    </w:rPr>
  </w:style>
  <w:style w:type="character" w:customStyle="1" w:styleId="30">
    <w:name w:val="日期 Char"/>
    <w:link w:val="8"/>
    <w:semiHidden/>
    <w:qFormat/>
    <w:locked/>
    <w:uiPriority w:val="0"/>
    <w:rPr>
      <w:rFonts w:cs="Times New Roman"/>
      <w:kern w:val="2"/>
      <w:sz w:val="24"/>
      <w:szCs w:val="24"/>
    </w:rPr>
  </w:style>
  <w:style w:type="character" w:customStyle="1" w:styleId="31">
    <w:name w:val="正文文本缩进 2 Char"/>
    <w:basedOn w:val="16"/>
    <w:link w:val="9"/>
    <w:qFormat/>
    <w:locked/>
    <w:uiPriority w:val="0"/>
    <w:rPr>
      <w:rFonts w:eastAsia="方正仿宋_GBK"/>
      <w:kern w:val="2"/>
      <w:sz w:val="21"/>
      <w:szCs w:val="24"/>
      <w:lang w:val="en-US" w:eastAsia="zh-CN" w:bidi="ar-SA"/>
    </w:rPr>
  </w:style>
  <w:style w:type="character" w:customStyle="1" w:styleId="32">
    <w:name w:val="页脚 Char1"/>
    <w:link w:val="10"/>
    <w:qFormat/>
    <w:locked/>
    <w:uiPriority w:val="0"/>
    <w:rPr>
      <w:kern w:val="2"/>
      <w:sz w:val="18"/>
    </w:rPr>
  </w:style>
  <w:style w:type="character" w:customStyle="1" w:styleId="33">
    <w:name w:val="页眉 Char"/>
    <w:link w:val="11"/>
    <w:qFormat/>
    <w:locked/>
    <w:uiPriority w:val="0"/>
    <w:rPr>
      <w:rFonts w:cs="Times New Roman"/>
      <w:kern w:val="2"/>
      <w:sz w:val="18"/>
    </w:rPr>
  </w:style>
  <w:style w:type="character" w:customStyle="1" w:styleId="34">
    <w:name w:val="font12"/>
    <w:qFormat/>
    <w:uiPriority w:val="0"/>
    <w:rPr>
      <w:rFonts w:ascii="宋体" w:hAnsi="宋体" w:eastAsia="宋体" w:cs="宋体"/>
      <w:color w:val="000000"/>
      <w:sz w:val="22"/>
      <w:szCs w:val="22"/>
      <w:u w:val="none"/>
    </w:rPr>
  </w:style>
  <w:style w:type="character" w:customStyle="1" w:styleId="35">
    <w:name w:val="font101"/>
    <w:qFormat/>
    <w:uiPriority w:val="0"/>
    <w:rPr>
      <w:rFonts w:ascii="Times New Roman" w:hAnsi="Times New Roman" w:cs="Times New Roman"/>
      <w:color w:val="000000"/>
      <w:sz w:val="18"/>
      <w:szCs w:val="18"/>
      <w:u w:val="none"/>
    </w:rPr>
  </w:style>
  <w:style w:type="character" w:customStyle="1" w:styleId="36">
    <w:name w:val="Footer Char"/>
    <w:qFormat/>
    <w:locked/>
    <w:uiPriority w:val="0"/>
    <w:rPr>
      <w:rFonts w:cs="Times New Roman"/>
      <w:sz w:val="18"/>
      <w:szCs w:val="18"/>
    </w:rPr>
  </w:style>
  <w:style w:type="character" w:customStyle="1" w:styleId="37">
    <w:name w:val="font111"/>
    <w:qFormat/>
    <w:uiPriority w:val="0"/>
    <w:rPr>
      <w:rFonts w:ascii="Times New Roman" w:hAnsi="Times New Roman" w:cs="Times New Roman"/>
      <w:color w:val="000000"/>
      <w:sz w:val="22"/>
      <w:szCs w:val="22"/>
      <w:u w:val="none"/>
    </w:rPr>
  </w:style>
  <w:style w:type="character" w:customStyle="1" w:styleId="38">
    <w:name w:val="font151"/>
    <w:qFormat/>
    <w:uiPriority w:val="0"/>
    <w:rPr>
      <w:rFonts w:ascii="宋体" w:hAnsi="宋体" w:eastAsia="宋体" w:cs="宋体"/>
      <w:color w:val="000000"/>
      <w:sz w:val="21"/>
      <w:szCs w:val="21"/>
      <w:u w:val="none"/>
    </w:rPr>
  </w:style>
  <w:style w:type="character" w:customStyle="1" w:styleId="39">
    <w:name w:val="font61"/>
    <w:qFormat/>
    <w:uiPriority w:val="0"/>
    <w:rPr>
      <w:rFonts w:ascii="宋体" w:hAnsi="宋体" w:eastAsia="宋体" w:cs="宋体"/>
      <w:color w:val="000000"/>
      <w:sz w:val="18"/>
      <w:szCs w:val="18"/>
      <w:u w:val="none"/>
    </w:rPr>
  </w:style>
  <w:style w:type="paragraph" w:customStyle="1" w:styleId="40">
    <w:name w:val="Char"/>
    <w:basedOn w:val="1"/>
    <w:qFormat/>
    <w:uiPriority w:val="0"/>
    <w:pPr>
      <w:tabs>
        <w:tab w:val="left" w:pos="0"/>
      </w:tabs>
    </w:pPr>
  </w:style>
  <w:style w:type="paragraph" w:customStyle="1" w:styleId="41">
    <w:name w:val="Char Char Char Char"/>
    <w:basedOn w:val="1"/>
    <w:qFormat/>
    <w:uiPriority w:val="0"/>
    <w:pPr>
      <w:spacing w:line="360" w:lineRule="auto"/>
      <w:ind w:firstLine="200" w:firstLineChars="200"/>
    </w:pPr>
    <w:rPr>
      <w:rFonts w:ascii="宋体" w:hAnsi="宋体" w:cs="宋体"/>
      <w:sz w:val="24"/>
      <w:szCs w:val="20"/>
    </w:rPr>
  </w:style>
  <w:style w:type="paragraph" w:customStyle="1" w:styleId="42">
    <w:name w:val="_Style 33"/>
    <w:basedOn w:val="1"/>
    <w:qFormat/>
    <w:uiPriority w:val="0"/>
    <w:pPr>
      <w:spacing w:line="360" w:lineRule="auto"/>
      <w:ind w:firstLine="200" w:firstLineChars="200"/>
    </w:pPr>
    <w:rPr>
      <w:rFonts w:ascii="宋体" w:hAnsi="宋体" w:cs="宋体"/>
      <w:sz w:val="24"/>
      <w:szCs w:val="20"/>
    </w:rPr>
  </w:style>
  <w:style w:type="paragraph" w:customStyle="1" w:styleId="43">
    <w:name w:val="标准文字"/>
    <w:basedOn w:val="1"/>
    <w:qFormat/>
    <w:uiPriority w:val="0"/>
    <w:pPr>
      <w:overflowPunct w:val="0"/>
      <w:adjustRightInd w:val="0"/>
      <w:snapToGrid w:val="0"/>
      <w:spacing w:line="360" w:lineRule="auto"/>
      <w:ind w:firstLine="200" w:firstLineChars="200"/>
    </w:pPr>
    <w:rPr>
      <w:kern w:val="0"/>
      <w:sz w:val="28"/>
      <w:szCs w:val="21"/>
    </w:rPr>
  </w:style>
  <w:style w:type="paragraph" w:styleId="44">
    <w:name w:val="List Paragraph"/>
    <w:basedOn w:val="1"/>
    <w:qFormat/>
    <w:uiPriority w:val="34"/>
    <w:pPr>
      <w:ind w:firstLine="420" w:firstLineChars="200"/>
    </w:pPr>
  </w:style>
  <w:style w:type="paragraph" w:customStyle="1" w:styleId="45">
    <w:name w:val="Char Char Char Char Char Char Char"/>
    <w:basedOn w:val="1"/>
    <w:qFormat/>
    <w:uiPriority w:val="0"/>
  </w:style>
  <w:style w:type="paragraph" w:customStyle="1" w:styleId="46">
    <w:name w:val="Char1"/>
    <w:basedOn w:val="1"/>
    <w:qFormat/>
    <w:uiPriority w:val="0"/>
  </w:style>
  <w:style w:type="paragraph" w:customStyle="1" w:styleId="47">
    <w:name w:val="列出段落1"/>
    <w:basedOn w:val="1"/>
    <w:qFormat/>
    <w:uiPriority w:val="0"/>
    <w:pPr>
      <w:ind w:firstLine="420" w:firstLineChars="200"/>
    </w:pPr>
    <w:rPr>
      <w:rFonts w:ascii="Calibri" w:hAnsi="Calibri"/>
      <w:szCs w:val="22"/>
    </w:rPr>
  </w:style>
  <w:style w:type="character" w:customStyle="1" w:styleId="48">
    <w:name w:val="apple-converted-space"/>
    <w:qFormat/>
    <w:uiPriority w:val="0"/>
    <w:rPr>
      <w:rFonts w:cs="Times New Roman"/>
    </w:rPr>
  </w:style>
  <w:style w:type="character" w:customStyle="1" w:styleId="49">
    <w:name w:val="NormalCharacter"/>
    <w:semiHidden/>
    <w:qFormat/>
    <w:uiPriority w:val="0"/>
  </w:style>
  <w:style w:type="paragraph" w:customStyle="1" w:styleId="50">
    <w:name w:val="BodyTextIndent2"/>
    <w:basedOn w:val="1"/>
    <w:qFormat/>
    <w:uiPriority w:val="0"/>
    <w:pPr>
      <w:widowControl/>
      <w:spacing w:line="590" w:lineRule="exact"/>
      <w:ind w:firstLine="880" w:firstLineChars="200"/>
      <w:textAlignment w:val="baseline"/>
    </w:pPr>
    <w:rPr>
      <w:rFonts w:eastAsia="方正仿宋_GBK"/>
      <w:szCs w:val="22"/>
    </w:rPr>
  </w:style>
  <w:style w:type="paragraph" w:customStyle="1" w:styleId="51">
    <w:name w:val="Char Char Char Char Char Char1 Char Char Char Char Char Char Char Char Char Char Char Char Char"/>
    <w:basedOn w:val="1"/>
    <w:qFormat/>
    <w:uiPriority w:val="0"/>
    <w:pPr>
      <w:widowControl/>
      <w:spacing w:after="160" w:line="240" w:lineRule="exact"/>
      <w:jc w:val="left"/>
    </w:pPr>
  </w:style>
  <w:style w:type="paragraph" w:customStyle="1" w:styleId="52">
    <w:name w:val="p0"/>
    <w:basedOn w:val="1"/>
    <w:qFormat/>
    <w:uiPriority w:val="0"/>
    <w:pPr>
      <w:widowControl/>
      <w:spacing w:line="365" w:lineRule="atLeast"/>
      <w:ind w:left="1"/>
    </w:pPr>
    <w:rPr>
      <w:rFonts w:ascii="Calibri" w:hAnsi="Calibri"/>
      <w:kern w:val="0"/>
      <w:sz w:val="20"/>
      <w:szCs w:val="20"/>
    </w:rPr>
  </w:style>
  <w:style w:type="character" w:customStyle="1" w:styleId="53">
    <w:name w:val="font11"/>
    <w:qFormat/>
    <w:uiPriority w:val="0"/>
    <w:rPr>
      <w:rFonts w:hint="eastAsia" w:ascii="仿宋_GB2312" w:eastAsia="仿宋_GB2312" w:cs="仿宋_GB2312"/>
      <w:color w:val="000000"/>
      <w:sz w:val="24"/>
      <w:szCs w:val="24"/>
      <w:u w:val="none"/>
      <w:vertAlign w:val="superscript"/>
    </w:rPr>
  </w:style>
  <w:style w:type="character" w:customStyle="1" w:styleId="54">
    <w:name w:val="font41"/>
    <w:qFormat/>
    <w:uiPriority w:val="0"/>
    <w:rPr>
      <w:rFonts w:hint="eastAsia" w:ascii="宋体" w:hAnsi="宋体" w:eastAsia="宋体" w:cs="宋体"/>
      <w:color w:val="000000"/>
      <w:sz w:val="24"/>
      <w:szCs w:val="24"/>
      <w:u w:val="none"/>
    </w:rPr>
  </w:style>
  <w:style w:type="character" w:customStyle="1" w:styleId="55">
    <w:name w:val="font51"/>
    <w:qFormat/>
    <w:uiPriority w:val="0"/>
    <w:rPr>
      <w:rFonts w:ascii="Malgun Gothic Semilight" w:hAnsi="Malgun Gothic Semilight" w:eastAsia="Malgun Gothic Semilight" w:cs="Malgun Gothic Semilight"/>
      <w:color w:val="000000"/>
      <w:sz w:val="24"/>
      <w:szCs w:val="24"/>
      <w:u w:val="none"/>
    </w:rPr>
  </w:style>
  <w:style w:type="character" w:customStyle="1" w:styleId="56">
    <w:name w:val="font31"/>
    <w:qFormat/>
    <w:uiPriority w:val="0"/>
    <w:rPr>
      <w:rFonts w:hint="eastAsia" w:ascii="仿宋_GB2312" w:eastAsia="仿宋_GB2312" w:cs="仿宋_GB2312"/>
      <w:color w:val="000000"/>
      <w:sz w:val="24"/>
      <w:szCs w:val="24"/>
      <w:u w:val="none"/>
    </w:rPr>
  </w:style>
  <w:style w:type="character" w:customStyle="1" w:styleId="57">
    <w:name w:val="Char Char1"/>
    <w:qFormat/>
    <w:uiPriority w:val="0"/>
    <w:rPr>
      <w:sz w:val="18"/>
      <w:szCs w:val="18"/>
    </w:rPr>
  </w:style>
  <w:style w:type="character" w:customStyle="1" w:styleId="58">
    <w:name w:val="页脚 Char"/>
    <w:basedOn w:val="16"/>
    <w:qFormat/>
    <w:uiPriority w:val="99"/>
    <w:rPr>
      <w:sz w:val="18"/>
      <w:szCs w:val="18"/>
    </w:rPr>
  </w:style>
  <w:style w:type="paragraph" w:customStyle="1" w:styleId="59">
    <w:name w:val="Char2"/>
    <w:basedOn w:val="1"/>
    <w:qFormat/>
    <w:uiPriority w:val="0"/>
    <w:pPr>
      <w:tabs>
        <w:tab w:val="left" w:pos="0"/>
      </w:tabs>
    </w:pPr>
  </w:style>
  <w:style w:type="paragraph" w:customStyle="1" w:styleId="60">
    <w:name w:val="列出段落11"/>
    <w:basedOn w:val="1"/>
    <w:qFormat/>
    <w:uiPriority w:val="0"/>
    <w:pPr>
      <w:widowControl/>
      <w:spacing w:line="600" w:lineRule="exact"/>
      <w:ind w:firstLine="420" w:firstLineChars="200"/>
      <w:jc w:val="center"/>
    </w:pPr>
    <w:rPr>
      <w:rFonts w:ascii="Calibri" w:hAnsi="Calibri"/>
      <w:szCs w:val="22"/>
    </w:rPr>
  </w:style>
  <w:style w:type="paragraph" w:customStyle="1" w:styleId="61">
    <w:name w:val="Body text|1"/>
    <w:basedOn w:val="1"/>
    <w:qFormat/>
    <w:uiPriority w:val="0"/>
    <w:pPr>
      <w:spacing w:after="240" w:line="427" w:lineRule="auto"/>
      <w:ind w:firstLine="400"/>
    </w:pPr>
    <w:rPr>
      <w:rFonts w:ascii="宋体" w:hAnsi="宋体" w:cs="宋体"/>
      <w:sz w:val="30"/>
      <w:szCs w:val="30"/>
      <w:lang w:val="zh-TW" w:eastAsia="zh-TW"/>
    </w:rPr>
  </w:style>
  <w:style w:type="character" w:customStyle="1" w:styleId="62">
    <w:name w:val="Header Char"/>
    <w:basedOn w:val="16"/>
    <w:qFormat/>
    <w:locked/>
    <w:uiPriority w:val="0"/>
    <w:rPr>
      <w:rFonts w:cs="Times New Roman"/>
      <w:sz w:val="18"/>
      <w:szCs w:val="18"/>
    </w:rPr>
  </w:style>
  <w:style w:type="paragraph" w:customStyle="1" w:styleId="63">
    <w:name w:val="tb"/>
    <w:qFormat/>
    <w:uiPriority w:val="0"/>
    <w:pPr>
      <w:widowControl w:val="0"/>
      <w:spacing w:line="400" w:lineRule="atLeast"/>
      <w:jc w:val="both"/>
    </w:pPr>
    <w:rPr>
      <w:rFonts w:ascii="宋体" w:hAnsi="Arial" w:eastAsia="宋体" w:cs="Times New Roman"/>
      <w:kern w:val="2"/>
      <w:sz w:val="24"/>
      <w:szCs w:val="22"/>
      <w:lang w:val="en-US" w:eastAsia="zh-CN" w:bidi="ar-SA"/>
    </w:rPr>
  </w:style>
  <w:style w:type="paragraph" w:customStyle="1" w:styleId="64">
    <w:name w:val="公文标题1"/>
    <w:qFormat/>
    <w:uiPriority w:val="0"/>
    <w:pPr>
      <w:widowControl w:val="0"/>
      <w:adjustRightInd w:val="0"/>
      <w:spacing w:before="340" w:after="330" w:line="240" w:lineRule="atLeast"/>
      <w:ind w:firstLine="200" w:firstLineChars="200"/>
      <w:outlineLvl w:val="0"/>
    </w:pPr>
    <w:rPr>
      <w:rFonts w:ascii="Calibri" w:hAnsi="Calibri" w:eastAsia="华文中宋" w:cs="Times New Roman"/>
      <w:b/>
      <w:kern w:val="44"/>
      <w:sz w:val="36"/>
      <w:szCs w:val="22"/>
      <w:lang w:val="en-US" w:eastAsia="zh-CN" w:bidi="ar-SA"/>
    </w:rPr>
  </w:style>
  <w:style w:type="paragraph" w:customStyle="1" w:styleId="65">
    <w:name w:val="4级正文"/>
    <w:qFormat/>
    <w:uiPriority w:val="0"/>
    <w:pPr>
      <w:spacing w:line="580" w:lineRule="exact"/>
      <w:ind w:firstLine="200" w:firstLineChars="200"/>
    </w:pPr>
    <w:rPr>
      <w:rFonts w:ascii="仿宋_GB2312" w:hAnsi="仿宋_GB2312" w:eastAsia="仿宋_GB2312" w:cs="Times New Roman"/>
      <w:kern w:val="2"/>
      <w:sz w:val="32"/>
      <w:szCs w:val="22"/>
      <w:lang w:val="en-US" w:eastAsia="zh-CN" w:bidi="ar-SA"/>
    </w:rPr>
  </w:style>
  <w:style w:type="paragraph" w:customStyle="1" w:styleId="66">
    <w:name w:val="表内文字1"/>
    <w:basedOn w:val="1"/>
    <w:qFormat/>
    <w:uiPriority w:val="0"/>
    <w:pPr>
      <w:adjustRightInd w:val="0"/>
      <w:snapToGrid w:val="0"/>
      <w:jc w:val="center"/>
    </w:pPr>
    <w:rPr>
      <w:snapToGrid w:val="0"/>
      <w:kern w:val="0"/>
      <w:szCs w:val="20"/>
    </w:rPr>
  </w:style>
  <w:style w:type="character" w:customStyle="1" w:styleId="67">
    <w:name w:val="15"/>
    <w:qFormat/>
    <w:uiPriority w:val="0"/>
    <w:rPr>
      <w:rFonts w:hint="default" w:ascii="Times New Roman" w:hAnsi="Times New Roman" w:eastAsia="宋体" w:cs="Times New Roman"/>
      <w:color w:val="0000FF"/>
      <w:u w:val="single"/>
    </w:rPr>
  </w:style>
  <w:style w:type="paragraph" w:customStyle="1" w:styleId="68">
    <w:name w:val="正文（公文）"/>
    <w:basedOn w:val="1"/>
    <w:qFormat/>
    <w:uiPriority w:val="0"/>
    <w:pPr>
      <w:spacing w:line="580" w:lineRule="exact"/>
      <w:ind w:firstLine="420"/>
    </w:pPr>
    <w:rPr>
      <w:rFonts w:ascii="Calibri" w:hAnsi="Calibri" w:eastAsia="方正仿宋_GBK"/>
      <w:sz w:val="32"/>
    </w:rPr>
  </w:style>
  <w:style w:type="paragraph" w:customStyle="1" w:styleId="69">
    <w:name w:val="Char Char2"/>
    <w:basedOn w:val="1"/>
    <w:qFormat/>
    <w:uiPriority w:val="0"/>
    <w:pPr>
      <w:tabs>
        <w:tab w:val="left" w:pos="0"/>
      </w:tabs>
    </w:pPr>
  </w:style>
  <w:style w:type="paragraph" w:customStyle="1" w:styleId="70">
    <w:name w:val="文华表正文"/>
    <w:basedOn w:val="71"/>
    <w:qFormat/>
    <w:uiPriority w:val="0"/>
    <w:pPr>
      <w:ind w:firstLine="480"/>
    </w:pPr>
    <w:rPr>
      <w:rFonts w:hAnsi="宋体"/>
    </w:rPr>
  </w:style>
  <w:style w:type="paragraph" w:customStyle="1" w:styleId="71">
    <w:name w:val="报告表正文"/>
    <w:basedOn w:val="1"/>
    <w:qFormat/>
    <w:uiPriority w:val="0"/>
    <w:pPr>
      <w:spacing w:line="360" w:lineRule="auto"/>
      <w:ind w:firstLine="200" w:firstLineChars="200"/>
    </w:pPr>
    <w:rPr>
      <w:sz w:val="24"/>
    </w:rPr>
  </w:style>
  <w:style w:type="table" w:customStyle="1" w:styleId="72">
    <w:name w:val="网格型1"/>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8</Pages>
  <Words>569</Words>
  <Characters>3247</Characters>
  <Lines>27</Lines>
  <Paragraphs>7</Paragraphs>
  <TotalTime>3</TotalTime>
  <ScaleCrop>false</ScaleCrop>
  <LinksUpToDate>false</LinksUpToDate>
  <CharactersWithSpaces>3809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2024-07-10T15:51:00Z</dcterms:created>
  <dc:creator>雨林木风</dc:creator>
  <cp:lastModifiedBy>wyk</cp:lastModifiedBy>
  <cp:lastPrinted>2023-01-05T08:12:00Z</cp:lastPrinted>
  <dcterms:modified xsi:type="dcterms:W3CDTF">2024-07-10T16:47:25Z</dcterms:modified>
  <dc:title>黄环〔2011〕8号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